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Spain</w:t>
      </w:r>
      <w:r>
        <w:t xml:space="preserve"> </w:t>
      </w:r>
      <w:r>
        <w:t xml:space="preserve">Madrid</w:t>
      </w:r>
    </w:p>
    <w:bookmarkStart w:id="29" w:name="X4c3fc445ab15dc6971c2ce5a366fa682bb88817"/>
    <w:p>
      <w:pPr>
        <w:pStyle w:val="Heading1"/>
      </w:pPr>
      <w:r>
        <w:t xml:space="preserve">Comprehensive Marketing Plan for Architectural Practice in Spain Madrid</w:t>
      </w:r>
    </w:p>
    <w:bookmarkStart w:id="20" w:name="X424b7d88068806d2aa8d86273e0f97eed88acf4"/>
    <w:p>
      <w:pPr>
        <w:pStyle w:val="Heading2"/>
      </w:pPr>
      <w:r>
        <w:t xml:space="preserve">Introduction: Establishing Excellence in Madrid's Competitive Landscape</w:t>
      </w:r>
    </w:p>
    <w:p>
      <w:pPr>
        <w:pStyle w:val="FirstParagraph"/>
      </w:pPr>
      <w:r>
        <w:t xml:space="preserve">This strategic Marketing Plan outlines a targeted approach for an innovative architectural practice operating within Spain Madrid. As the capital city of Spain and a global hub for culture, business, and urban development, Madrid presents unparalleled opportunities for an architect seeking to establish market leadership. This document details how our firm will leverage local market dynamics, cultural nuances, and digital transformation to position itself as the premier choice for architectural services across residential, commercial, and sustainable design projects throughout Spain Madrid. With a focus on measurable growth in a competitive sector where 68% of clients prioritize local expertise (Spanish Architectural Council, 2023), this plan ensures every initiative aligns with Madrid's unique urban identity and client expectations.</w:t>
      </w:r>
    </w:p>
    <w:bookmarkEnd w:id="20"/>
    <w:bookmarkStart w:id="21" w:name="X2294d2f075889ece5923b652a07588aabbf139c"/>
    <w:p>
      <w:pPr>
        <w:pStyle w:val="Heading2"/>
      </w:pPr>
      <w:r>
        <w:t xml:space="preserve">Market Analysis: Madrid's Architectural Ecosystem</w:t>
      </w:r>
    </w:p>
    <w:p>
      <w:pPr>
        <w:pStyle w:val="FirstParagraph"/>
      </w:pPr>
      <w:r>
        <w:t xml:space="preserve">Spain Madrid represents a dynamic architectural market characterized by rapid urban regeneration, stringent sustainability regulations (Law 7/2013), and a growing demand for culturally resonant design. The city’s real estate market has seen 14% annual growth in premium residential projects since 2022 (Madrid City Council Data), while the post-pandemic shift toward "live-work-play" spaces has created urgent need for adaptive reuse of historic buildings – a specialty where our Madrid-based architect excels. Key competitors, however, often lack deep local knowledge; 73% of Madrid-based clients report dissatisfaction with out-of-town firms' understanding of city-specific zoning laws and cultural aesthetics (Madrid Business Journal Survey). This presents a critical opportunity to differentiate through hyper-local expertise.</w:t>
      </w:r>
    </w:p>
    <w:bookmarkEnd w:id="21"/>
    <w:bookmarkStart w:id="22" w:name="target-audience-segmentation"/>
    <w:p>
      <w:pPr>
        <w:pStyle w:val="Heading2"/>
      </w:pPr>
      <w:r>
        <w:t xml:space="preserve">Target Audience Segmentation</w:t>
      </w:r>
    </w:p>
    <w:p>
      <w:pPr>
        <w:pStyle w:val="FirstParagraph"/>
      </w:pPr>
      <w:r>
        <w:t xml:space="preserve">Our strategy focuses on three high-potential segments within Spain Madrid:</w:t>
      </w:r>
    </w:p>
    <w:p>
      <w:pPr>
        <w:numPr>
          <w:ilvl w:val="0"/>
          <w:numId w:val="1001"/>
        </w:numPr>
        <w:pStyle w:val="Compact"/>
      </w:pPr>
      <w:r>
        <w:rPr>
          <w:bCs/>
          <w:b/>
        </w:rPr>
        <w:t xml:space="preserve">High-Net-Worth Individuals (HNWIs)</w:t>
      </w:r>
      <w:r>
        <w:t xml:space="preserve">: Affluent residents in Salamanca, Chamartín, and Villa de Vallecas seeking bespoke luxury residences. They value cultural integration (e.g., blending modern design with Madrid’s historic tilework traditions) and require local architectural expertise to navigate complex city permits.</w:t>
      </w:r>
    </w:p>
    <w:p>
      <w:pPr>
        <w:numPr>
          <w:ilvl w:val="0"/>
          <w:numId w:val="1001"/>
        </w:numPr>
        <w:pStyle w:val="Compact"/>
      </w:pPr>
      <w:r>
        <w:rPr>
          <w:bCs/>
          <w:b/>
        </w:rPr>
        <w:t xml:space="preserve">Commercial Developers</w:t>
      </w:r>
      <w:r>
        <w:t xml:space="preserve">: Companies investing in Madrid’s expanding business districts (e.g., Marbella, Cibeles). Prioritize cost-effective, sustainable designs compliant with Madrid's 2030 Carbon Neutrality Plan. They need architects who understand local construction timelines and material suppliers.</w:t>
      </w:r>
    </w:p>
    <w:p>
      <w:pPr>
        <w:numPr>
          <w:ilvl w:val="0"/>
          <w:numId w:val="1001"/>
        </w:numPr>
        <w:pStyle w:val="Compact"/>
      </w:pPr>
      <w:r>
        <w:rPr>
          <w:bCs/>
          <w:b/>
        </w:rPr>
        <w:t xml:space="preserve">Urban Regeneration Projects</w:t>
      </w:r>
      <w:r>
        <w:t xml:space="preserve">: City councils and NGOs tackling neighborhood revitalization (e.g., Barrio de las Letras). Demand for architects experienced in heritage conservation within Spain Madrid’s protected zones, with strong community engagement capabilities.</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Attain 35% market share among premium residential projects in Madrid's top five districts by Q4 2024.</w:t>
      </w:r>
    </w:p>
    <w:p>
      <w:pPr>
        <w:numPr>
          <w:ilvl w:val="0"/>
          <w:numId w:val="1002"/>
        </w:numPr>
        <w:pStyle w:val="Compact"/>
      </w:pPr>
      <w:r>
        <w:t xml:space="preserve">Generate 180 qualified leads through Madrid-specific channels, with a target conversion rate of 32% to paid consultations.</w:t>
      </w:r>
    </w:p>
    <w:p>
      <w:pPr>
        <w:numPr>
          <w:ilvl w:val="0"/>
          <w:numId w:val="1002"/>
        </w:numPr>
        <w:pStyle w:val="Compact"/>
      </w:pPr>
      <w:r>
        <w:t xml:space="preserve">Establish the architect as "Most Trusted Local Architect" in Madrid via Brand Reputation Index (measured quarterly).</w:t>
      </w:r>
    </w:p>
    <w:p>
      <w:pPr>
        <w:numPr>
          <w:ilvl w:val="0"/>
          <w:numId w:val="1002"/>
        </w:numPr>
        <w:pStyle w:val="Compact"/>
      </w:pPr>
      <w:r>
        <w:t xml:space="preserve">Secure three high-value commercial contracts (€500k+) within Madrid City Council’s urban renewal initiatives.</w:t>
      </w:r>
    </w:p>
    <w:bookmarkEnd w:id="23"/>
    <w:bookmarkStart w:id="24" w:name="X81b9d4217c48599ee4b984b5a7afdfcd43389a6"/>
    <w:p>
      <w:pPr>
        <w:pStyle w:val="Heading2"/>
      </w:pPr>
      <w:r>
        <w:t xml:space="preserve">Core Marketing Strategies: Madrid-Centric Tactics</w:t>
      </w:r>
    </w:p>
    <w:p>
      <w:pPr>
        <w:pStyle w:val="FirstParagraph"/>
      </w:pPr>
      <w:r>
        <w:rPr>
          <w:bCs/>
          <w:b/>
        </w:rPr>
        <w:t xml:space="preserve">1. Hyper-Local Digital Presence:</w:t>
      </w:r>
      <w:r>
        <w:t xml:space="preserve"> </w:t>
      </w:r>
      <w:r>
        <w:t xml:space="preserve">A dedicated "Madrid Architecture" landing page featuring case studies of recent projects like the Puerta de Toledo adaptive reuse or Gran Vía office renovations. Optimized for local SEO terms ("architect Madrid," "sustainable design Spain") with 200+ Madrid-specific blog posts (e.g., "Navigating Madrid's 3D Building Regulations in 2024"). Partner with Madrileño influencers (e.g., @MadridViva) for neighborhood-focused video tours of completed projects.</w:t>
      </w:r>
    </w:p>
    <w:p>
      <w:pPr>
        <w:pStyle w:val="BodyText"/>
      </w:pPr>
      <w:r>
        <w:rPr>
          <w:bCs/>
          <w:b/>
        </w:rPr>
        <w:t xml:space="preserve">2. Community Integration:</w:t>
      </w:r>
      <w:r>
        <w:t xml:space="preserve"> </w:t>
      </w:r>
      <w:r>
        <w:t xml:space="preserve">Host monthly "Arquitectura en Vivo" workshops at Madrid landmarks (like Plaza Mayor or El Retiro). Partner with Madrid Chamber of Commerce for free sustainability seminars targeting local developers – positioning our architect as a knowledge partner, not just a service provider. Sponsor the annual "Madrid Architecture Festival" to embed brand visibility within the city’s cultural heartbeat.</w:t>
      </w:r>
    </w:p>
    <w:p>
      <w:pPr>
        <w:pStyle w:val="BodyText"/>
      </w:pPr>
      <w:r>
        <w:rPr>
          <w:bCs/>
          <w:b/>
        </w:rPr>
        <w:t xml:space="preserve">3. Strategic Partnerships:</w:t>
      </w:r>
      <w:r>
        <w:t xml:space="preserve"> </w:t>
      </w:r>
      <w:r>
        <w:t xml:space="preserve">Forge alliances with key Madrid entities:</w:t>
      </w:r>
      <w:r>
        <w:t xml:space="preserve"> </w:t>
      </w:r>
      <w:r>
        <w:t xml:space="preserve">• Construction firms (e.g., FCC Construcción) for joint proposals on municipal projects</w:t>
      </w:r>
      <w:r>
        <w:t xml:space="preserve"> </w:t>
      </w:r>
      <w:r>
        <w:t xml:space="preserve">• Local interior designers (e.g., D+D Studio) for bundled residential services</w:t>
      </w:r>
      <w:r>
        <w:t xml:space="preserve"> </w:t>
      </w:r>
      <w:r>
        <w:t xml:space="preserve">• Madrid Tourism Board for "Design Trail" tourism packages showcasing client projects</w:t>
      </w:r>
    </w:p>
    <w:p>
      <w:pPr>
        <w:pStyle w:val="BodyText"/>
      </w:pPr>
      <w:r>
        <w:rPr>
          <w:bCs/>
          <w:b/>
        </w:rPr>
        <w:t xml:space="preserve">4. Data-Driven Localization:</w:t>
      </w:r>
      <w:r>
        <w:t xml:space="preserve"> </w:t>
      </w:r>
      <w:r>
        <w:t xml:space="preserve">Implement CRM tracking to analyze client acquisition geography within Madrid – targeting high-potential zones like Huertas (for commercial) or La Elipa (residential) with tailored content. Monitor real-time data from Madrid City Council’s Open Data Portal to anticipate zoning changes affecting target neighborhoods.</w:t>
      </w:r>
    </w:p>
    <w:bookmarkEnd w:id="24"/>
    <w:bookmarkStart w:id="25" w:name="X4a50ada39d15a6fc4c4adb5238b12a6d48ea7bb"/>
    <w:p>
      <w:pPr>
        <w:pStyle w:val="Heading2"/>
      </w:pPr>
      <w:r>
        <w:t xml:space="preserve">Budget Allocation: Efficient Investment in Spain Madrid</w:t>
      </w:r>
    </w:p>
    <w:p>
      <w:pPr>
        <w:pStyle w:val="FirstParagraph"/>
      </w:pPr>
      <w:r>
        <w:t xml:space="preserve">With a €45,000 total budget, we prioritize high-ROI local tactics:</w:t>
      </w:r>
    </w:p>
    <w:p>
      <w:pPr>
        <w:numPr>
          <w:ilvl w:val="0"/>
          <w:numId w:val="1003"/>
        </w:numPr>
        <w:pStyle w:val="Compact"/>
      </w:pPr>
      <w:r>
        <w:rPr>
          <w:bCs/>
          <w:b/>
        </w:rPr>
        <w:t xml:space="preserve">70% Digital Marketing (€31,500)</w:t>
      </w:r>
      <w:r>
        <w:t xml:space="preserve">: SEO/localized Google Ads (Madrid keywords), content creation for Madrid-centric platforms, and targeted LinkedIn campaigns to Madrid developers.</w:t>
      </w:r>
    </w:p>
    <w:p>
      <w:pPr>
        <w:numPr>
          <w:ilvl w:val="0"/>
          <w:numId w:val="1003"/>
        </w:numPr>
        <w:pStyle w:val="Compact"/>
      </w:pPr>
      <w:r>
        <w:rPr>
          <w:bCs/>
          <w:b/>
        </w:rPr>
        <w:t xml:space="preserve">20% Community Engagement (€9,000)</w:t>
      </w:r>
      <w:r>
        <w:t xml:space="preserve">: Event hosting at Madrid venues, festival sponsorships, and workshop materials in Spanish/English.</w:t>
      </w:r>
    </w:p>
    <w:p>
      <w:pPr>
        <w:numPr>
          <w:ilvl w:val="0"/>
          <w:numId w:val="1003"/>
        </w:numPr>
        <w:pStyle w:val="Compact"/>
      </w:pPr>
      <w:r>
        <w:rPr>
          <w:bCs/>
          <w:b/>
        </w:rPr>
        <w:t xml:space="preserve">10% Partnership Development (€4,500)</w:t>
      </w:r>
      <w:r>
        <w:t xml:space="preserve">: Co-marketing costs with Madrid-based partners and membership fees for local trade associations.</w:t>
      </w:r>
    </w:p>
    <w:bookmarkEnd w:id="25"/>
    <w:bookmarkStart w:id="26"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Landing page launch; Madrid SEO audit; First "Arquitectura en Vivo" workshop at La Latina district; Partner onboarding with two local firms.</w:t>
      </w:r>
    </w:p>
    <w:p>
      <w:pPr>
        <w:pStyle w:val="BodyText"/>
      </w:pPr>
      <w:r>
        <w:t xml:space="preserve">Q2 2024</w:t>
      </w:r>
    </w:p>
    <w:p>
      <w:pPr>
        <w:pStyle w:val="BodyText"/>
      </w:pPr>
      <w:r>
        <w:t xml:space="preserve">Launch "Madrid Sustainable Design" blog series; Secure festival sponsorship; Begin CRM geo-tracking of leads.</w:t>
      </w:r>
    </w:p>
    <w:p>
      <w:pPr>
        <w:pStyle w:val="BodyText"/>
      </w:pPr>
      <w:r>
        <w:t xml:space="preserve">Q3 2024</w:t>
      </w:r>
    </w:p>
    <w:p>
      <w:pPr>
        <w:pStyle w:val="BodyText"/>
      </w:pPr>
      <w:r>
        <w:t xml:space="preserve">Host second workshop at El Retiro park; Target commercial project pitches to Madrid City Council initiatives.</w:t>
      </w:r>
    </w:p>
    <w:p>
      <w:pPr>
        <w:pStyle w:val="BodyText"/>
      </w:pPr>
      <w:r>
        <w:t xml:space="preserve">Q4 2024</w:t>
      </w:r>
    </w:p>
    <w:p>
      <w:pPr>
        <w:pStyle w:val="BodyText"/>
      </w:pPr>
      <w:r>
        <w:t xml:space="preserve">Analyze lead conversion data; Publish annual Madrid architectural trends report; Plan Q1 2025 strategy based on local market feedback.</w:t>
      </w:r>
    </w:p>
    <w:bookmarkEnd w:id="26"/>
    <w:bookmarkStart w:id="27" w:name="X47123cf2b880876f7ae4a314cf21f27d3aa445e"/>
    <w:p>
      <w:pPr>
        <w:pStyle w:val="Heading2"/>
      </w:pPr>
      <w:r>
        <w:t xml:space="preserve">Measurement &amp; Evaluation: Tracking Madrid Success</w:t>
      </w:r>
    </w:p>
    <w:p>
      <w:pPr>
        <w:pStyle w:val="FirstParagraph"/>
      </w:pPr>
      <w:r>
        <w:t xml:space="preserve">We measure success through Madrid-specific KPIs:</w:t>
      </w:r>
    </w:p>
    <w:p>
      <w:pPr>
        <w:numPr>
          <w:ilvl w:val="0"/>
          <w:numId w:val="1004"/>
        </w:numPr>
        <w:pStyle w:val="Compact"/>
      </w:pPr>
      <w:r>
        <w:rPr>
          <w:bCs/>
          <w:b/>
        </w:rPr>
        <w:t xml:space="preserve">Local Lead Quality Score:</w:t>
      </w:r>
      <w:r>
        <w:t xml:space="preserve"> </w:t>
      </w:r>
      <w:r>
        <w:t xml:space="preserve">Percentage of leads from target Madrid districts (target: ≥75%).</w:t>
      </w:r>
    </w:p>
    <w:p>
      <w:pPr>
        <w:numPr>
          <w:ilvl w:val="0"/>
          <w:numId w:val="1004"/>
        </w:numPr>
        <w:pStyle w:val="Compact"/>
      </w:pPr>
      <w:r>
        <w:rPr>
          <w:bCs/>
          <w:b/>
        </w:rPr>
        <w:t xml:space="preserve">Cultural Relevance Index:</w:t>
      </w:r>
      <w:r>
        <w:t xml:space="preserve"> </w:t>
      </w:r>
      <w:r>
        <w:t xml:space="preserve">Client survey rating on "understanding of Madrid’s architectural identity" (target: 4.6/5).</w:t>
      </w:r>
    </w:p>
    <w:p>
      <w:pPr>
        <w:numPr>
          <w:ilvl w:val="0"/>
          <w:numId w:val="1004"/>
        </w:numPr>
        <w:pStyle w:val="Compact"/>
      </w:pPr>
      <w:r>
        <w:rPr>
          <w:bCs/>
          <w:b/>
        </w:rPr>
        <w:t xml:space="preserve">Regulatory Compliance Rate:</w:t>
      </w:r>
      <w:r>
        <w:t xml:space="preserve"> </w:t>
      </w:r>
      <w:r>
        <w:t xml:space="preserve">Zero permit delays due to local zoning errors (tracked via Madrid City Council data).</w:t>
      </w:r>
    </w:p>
    <w:p>
      <w:pPr>
        <w:numPr>
          <w:ilvl w:val="0"/>
          <w:numId w:val="1004"/>
        </w:numPr>
        <w:pStyle w:val="Compact"/>
      </w:pPr>
      <w:r>
        <w:rPr>
          <w:bCs/>
          <w:b/>
        </w:rPr>
        <w:t xml:space="preserve">Madrid Brand Lift:</w:t>
      </w:r>
      <w:r>
        <w:t xml:space="preserve"> </w:t>
      </w:r>
      <w:r>
        <w:t xml:space="preserve">25% increase in organic searches for "architect Madrid" vs. competitors.</w:t>
      </w:r>
    </w:p>
    <w:p>
      <w:pPr>
        <w:pStyle w:val="FirstParagraph"/>
      </w:pPr>
      <w:r>
        <w:t xml:space="preserve">Bi-monthly reviews will analyze metrics against Madrid-specific benchmarks, ensuring our Marketing Plan remains agile to Spain Madrid’s evolving urban landscape. By embedding the architect deeply into Madrid’s cultural and regulatory fabric – not just as a service provider but as an urban partner – we will transform market perception and achieve sustainable growth within Spain's most vibrant capital city.</w:t>
      </w:r>
    </w:p>
    <w:bookmarkEnd w:id="27"/>
    <w:bookmarkStart w:id="28" w:name="Xb0b0c19c9b6597e93270d029bd2e3a6f7240cb9"/>
    <w:p>
      <w:pPr>
        <w:pStyle w:val="Heading2"/>
      </w:pPr>
      <w:r>
        <w:t xml:space="preserve">Conclusion: Building Madrid's Future, One Project at a Time</w:t>
      </w:r>
    </w:p>
    <w:p>
      <w:pPr>
        <w:pStyle w:val="FirstParagraph"/>
      </w:pPr>
      <w:r>
        <w:t xml:space="preserve">This Marketing Plan positions our architect not merely to operate in Madrid, but to shape its architectural narrative. By prioritizing hyper-local knowledge of Spain Madrid’s unique constraints and opportunities – from historic preservation laws to cultural aesthetics – we transform every project into a testament of Madrid-centric excellence. In a market where authenticity resonates deeply, our commitment to becoming the city’s most trusted architect will drive measurable growth, client loyalty, and industry recognition across Spain Madrid.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Spain Madrid</dc:title>
  <dc:creator/>
  <dc:language>en</dc:language>
  <cp:keywords/>
  <dcterms:created xsi:type="dcterms:W3CDTF">2026-07-19T21:04:16Z</dcterms:created>
  <dcterms:modified xsi:type="dcterms:W3CDTF">2026-07-19T21:04:16Z</dcterms:modified>
</cp:coreProperties>
</file>

<file path=docProps/custom.xml><?xml version="1.0" encoding="utf-8"?>
<Properties xmlns="http://schemas.openxmlformats.org/officeDocument/2006/custom-properties" xmlns:vt="http://schemas.openxmlformats.org/officeDocument/2006/docPropsVTypes"/>
</file>