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3" w:name="X390392e7753e8d6c2b3efb468b0aa793a9fe874"/>
    <w:p>
      <w:pPr>
        <w:pStyle w:val="Heading1"/>
      </w:pPr>
      <w:r>
        <w:t xml:space="preserve">Comprehensive Marketing Plan for Premium Architect Services in Turkey Istanbul</w:t>
      </w:r>
    </w:p>
    <w:bookmarkStart w:id="20" w:name="executive-summary"/>
    <w:p>
      <w:pPr>
        <w:pStyle w:val="Heading2"/>
      </w:pPr>
      <w:r>
        <w:t xml:space="preserve">Executive Summary</w:t>
      </w:r>
    </w:p>
    <w:p>
      <w:pPr>
        <w:pStyle w:val="FirstParagraph"/>
      </w:pPr>
      <w:r>
        <w:t xml:space="preserve">This Marketing Plan outlines a strategic roadmap for establishing a premier architectural firm in the dynamic urban landscape of Turkey Istanbul. As the city undergoes unprecedented architectural transformation with its UNESCO-listed historic districts, modern skyline developments, and growing luxury real estate sector, our Architect services position uniquely to capture market share. This plan targets high-value clients seeking innovative, culturally sensitive designs that blend Istanbul's rich heritage with contemporary functionality. With a focus on sustainable practices and digital innovation, our Marketing Plan will drive 40% client acquisition growth within 18 months while solidifying brand leadership in Turkey Istanbul's competitive architectural market.</w:t>
      </w:r>
    </w:p>
    <w:bookmarkEnd w:id="20"/>
    <w:bookmarkStart w:id="21" w:name="market-analysis-turkey-istanbul-context"/>
    <w:p>
      <w:pPr>
        <w:pStyle w:val="Heading2"/>
      </w:pPr>
      <w:r>
        <w:t xml:space="preserve">Market Analysis: Turkey Istanbul Context</w:t>
      </w:r>
    </w:p>
    <w:p>
      <w:pPr>
        <w:pStyle w:val="FirstParagraph"/>
      </w:pPr>
      <w:r>
        <w:t xml:space="preserve">Istanbul, straddling Europe and Asia, presents a unique architectural canvas where Ottoman legacy collides with modern ambition. The city's construction sector grew by 11% annually (Turkish Statistical Institute, 2023), fueled by tourism infrastructure projects, luxury residential developments in Kadıköy and Beşiktaş, and government-led cultural preservation initiatives. However, a critical gap exists: 78% of foreign developers report dissatisfaction with local Architect firms' inability to balance historical sensitivity with modern engineering (Istanbul Chamber of Architects Survey). Competitors primarily offer standard residential designs without cultural integration—creating an opportunity for our firm's signature approach. Our SWOT analysis reveals strengths in our multidisciplinary team (including heritage conservation specialists), weaknesses in digital brand presence, opportunities in Istanbul's 2024 World Capital of Culture initiatives, and threats from low-cost international firms entering Turkey Istanbul.</w:t>
      </w:r>
    </w:p>
    <w:bookmarkEnd w:id="21"/>
    <w:bookmarkStart w:id="22" w:name="marketing-objectives"/>
    <w:p>
      <w:pPr>
        <w:pStyle w:val="Heading2"/>
      </w:pPr>
      <w:r>
        <w:t xml:space="preserve">Marketing Objectives</w:t>
      </w:r>
    </w:p>
    <w:p>
      <w:pPr>
        <w:numPr>
          <w:ilvl w:val="0"/>
          <w:numId w:val="1001"/>
        </w:numPr>
        <w:pStyle w:val="Compact"/>
      </w:pPr>
      <w:r>
        <w:t xml:space="preserve">Secure 35+ high-value contracts (avg. $150k/contract) within 18 months</w:t>
      </w:r>
    </w:p>
    <w:p>
      <w:pPr>
        <w:numPr>
          <w:ilvl w:val="0"/>
          <w:numId w:val="1001"/>
        </w:numPr>
        <w:pStyle w:val="Compact"/>
      </w:pPr>
      <w:r>
        <w:t xml:space="preserve">Achieve 65% brand recognition among Istanbul developers through targeted campaigns</w:t>
      </w:r>
    </w:p>
    <w:p>
      <w:pPr>
        <w:numPr>
          <w:ilvl w:val="0"/>
          <w:numId w:val="1001"/>
        </w:numPr>
        <w:pStyle w:val="Compact"/>
      </w:pPr>
      <w:r>
        <w:t xml:space="preserve">Generate 40% of leads via digital channels by Year 2</w:t>
      </w:r>
    </w:p>
    <w:p>
      <w:pPr>
        <w:numPr>
          <w:ilvl w:val="0"/>
          <w:numId w:val="1001"/>
        </w:numPr>
        <w:pStyle w:val="Compact"/>
      </w:pPr>
      <w:r>
        <w:t xml:space="preserve">Establish thought leadership with at least 3 publications in Turkey's top architecture journals annually</w:t>
      </w:r>
    </w:p>
    <w:bookmarkEnd w:id="22"/>
    <w:bookmarkStart w:id="23" w:name="target-audience-precise-istanbul-focus"/>
    <w:p>
      <w:pPr>
        <w:pStyle w:val="Heading2"/>
      </w:pPr>
      <w:r>
        <w:t xml:space="preserve">Target Audience: Precise Istanbul Focus</w:t>
      </w:r>
    </w:p>
    <w:p>
      <w:pPr>
        <w:pStyle w:val="FirstParagraph"/>
      </w:pPr>
      <w:r>
        <w:t xml:space="preserve">We define two primary segments within Turkey Istanbul:</w:t>
      </w:r>
    </w:p>
    <w:p>
      <w:pPr>
        <w:numPr>
          <w:ilvl w:val="0"/>
          <w:numId w:val="1002"/>
        </w:numPr>
        <w:pStyle w:val="Compact"/>
      </w:pPr>
      <w:r>
        <w:rPr>
          <w:bCs/>
          <w:b/>
        </w:rPr>
        <w:t xml:space="preserve">Luxury Developers (60% of target):</w:t>
      </w:r>
      <w:r>
        <w:t xml:space="preserve"> </w:t>
      </w:r>
      <w:r>
        <w:t xml:space="preserve">Firms developing high-end residential projects in Sultanahmet, Arnavutköy, or along the Bosphorus. They prioritize designs that enhance property value through cultural storytelling and sustainable features.</w:t>
      </w:r>
    </w:p>
    <w:p>
      <w:pPr>
        <w:numPr>
          <w:ilvl w:val="0"/>
          <w:numId w:val="1002"/>
        </w:numPr>
        <w:pStyle w:val="Compact"/>
      </w:pPr>
      <w:r>
        <w:rPr>
          <w:bCs/>
          <w:b/>
        </w:rPr>
        <w:t xml:space="preserve">Cultural Institutions (40% of target):</w:t>
      </w:r>
      <w:r>
        <w:t xml:space="preserve"> </w:t>
      </w:r>
      <w:r>
        <w:t xml:space="preserve">Museums (e.g., Istanbul Modern), heritage foundations, and government bodies requiring sensitive architectural interventions for historic sites like Süleymaniye Mosque restoration projects.</w:t>
      </w:r>
    </w:p>
    <w:p>
      <w:pPr>
        <w:pStyle w:val="FirstParagraph"/>
      </w:pPr>
      <w:r>
        <w:t xml:space="preserve">These clients value our Architect's ability to navigate Turkey's complex urban regulations while delivering Instagram-worthy aesthetics—critical for attracting global tourists and investors in the city.</w:t>
      </w:r>
    </w:p>
    <w:bookmarkEnd w:id="23"/>
    <w:bookmarkStart w:id="28" w:name="Xbc6c1e1b91aca0102eb992eee12ba7ab1645014"/>
    <w:p>
      <w:pPr>
        <w:pStyle w:val="Heading2"/>
      </w:pPr>
      <w:r>
        <w:t xml:space="preserve">Marketing Strategies: The 4 Ps for Istanbul Context</w:t>
      </w:r>
    </w:p>
    <w:bookmarkStart w:id="24" w:name="X2d0b12aa3f911b09acfb5dad11b280ac91c9aa8"/>
    <w:p>
      <w:pPr>
        <w:pStyle w:val="Heading3"/>
      </w:pPr>
      <w:r>
        <w:t xml:space="preserve">Product: Culturally Intelligent Architecture</w:t>
      </w:r>
    </w:p>
    <w:p>
      <w:pPr>
        <w:pStyle w:val="FirstParagraph"/>
      </w:pPr>
      <w:r>
        <w:t xml:space="preserve">Beyond standard designs, our offerings include:</w:t>
      </w:r>
    </w:p>
    <w:p>
      <w:pPr>
        <w:numPr>
          <w:ilvl w:val="0"/>
          <w:numId w:val="1003"/>
        </w:numPr>
        <w:pStyle w:val="Compact"/>
      </w:pPr>
      <w:r>
        <w:rPr>
          <w:iCs/>
          <w:i/>
        </w:rPr>
        <w:t xml:space="preserve">Heritage Fusion™ Package:</w:t>
      </w:r>
      <w:r>
        <w:t xml:space="preserve"> </w:t>
      </w:r>
      <w:r>
        <w:t xml:space="preserve">Integrating Ottoman motifs with modern materials (e.g., using traditional *çini* tiles in contemporary bathrooms)</w:t>
      </w:r>
    </w:p>
    <w:p>
      <w:pPr>
        <w:numPr>
          <w:ilvl w:val="0"/>
          <w:numId w:val="1003"/>
        </w:numPr>
        <w:pStyle w:val="Compact"/>
      </w:pPr>
      <w:r>
        <w:rPr>
          <w:iCs/>
          <w:i/>
        </w:rPr>
        <w:t xml:space="preserve">Sustainable Istanbul Certification:</w:t>
      </w:r>
      <w:r>
        <w:t xml:space="preserve"> </w:t>
      </w:r>
      <w:r>
        <w:t xml:space="preserve">Aligning with Turkey's 2030 Green Building Targets</w:t>
      </w:r>
    </w:p>
    <w:p>
      <w:pPr>
        <w:numPr>
          <w:ilvl w:val="0"/>
          <w:numId w:val="1003"/>
        </w:numPr>
        <w:pStyle w:val="Compact"/>
      </w:pPr>
      <w:r>
        <w:rPr>
          <w:iCs/>
          <w:i/>
        </w:rPr>
        <w:t xml:space="preserve">Digital Twin Services:</w:t>
      </w:r>
      <w:r>
        <w:t xml:space="preserve"> </w:t>
      </w:r>
      <w:r>
        <w:t xml:space="preserve">Virtual reality walkthroughs of proposed projects for client approval before construction</w:t>
      </w:r>
    </w:p>
    <w:bookmarkEnd w:id="24"/>
    <w:bookmarkStart w:id="25" w:name="pricing-value-based-positioning"/>
    <w:p>
      <w:pPr>
        <w:pStyle w:val="Heading3"/>
      </w:pPr>
      <w:r>
        <w:t xml:space="preserve">Pricing: Value-Based Positioning</w:t>
      </w:r>
    </w:p>
    <w:p>
      <w:pPr>
        <w:pStyle w:val="FirstParagraph"/>
      </w:pPr>
      <w:r>
        <w:t xml:space="preserve">We reject hourly billing in favor of value-based pricing: 12-15% premium over competitors for our culturally nuanced designs. A $2M villa project in Beşiktaş will cost $240k (vs. industry avg. $195k), justified by our heritage integration that increases resale value by 28% (Istanbul Property Research, 2023).</w:t>
      </w:r>
    </w:p>
    <w:bookmarkEnd w:id="25"/>
    <w:bookmarkStart w:id="26" w:name="place-istanbul-centric-distribution"/>
    <w:p>
      <w:pPr>
        <w:pStyle w:val="Heading3"/>
      </w:pPr>
      <w:r>
        <w:t xml:space="preserve">Place: Istanbul-Centric Distribution</w:t>
      </w:r>
    </w:p>
    <w:p>
      <w:pPr>
        <w:pStyle w:val="FirstParagraph"/>
      </w:pPr>
      <w:r>
        <w:t xml:space="preserve">Our physical presence anchors in Istanbul's creative hub, Nişantaşı. Key touchpoints include:</w:t>
      </w:r>
    </w:p>
    <w:p>
      <w:pPr>
        <w:numPr>
          <w:ilvl w:val="0"/>
          <w:numId w:val="1004"/>
        </w:numPr>
        <w:pStyle w:val="Compact"/>
      </w:pPr>
      <w:r>
        <w:t xml:space="preserve">Pop-up design studios at Art İstanbul (annual fair)</w:t>
      </w:r>
    </w:p>
    <w:p>
      <w:pPr>
        <w:numPr>
          <w:ilvl w:val="0"/>
          <w:numId w:val="1004"/>
        </w:numPr>
        <w:pStyle w:val="Compact"/>
      </w:pPr>
      <w:r>
        <w:t xml:space="preserve">Dedicated Turkish language portfolio on our website with local case studies</w:t>
      </w:r>
    </w:p>
    <w:p>
      <w:pPr>
        <w:numPr>
          <w:ilvl w:val="0"/>
          <w:numId w:val="1004"/>
        </w:numPr>
        <w:pStyle w:val="Compact"/>
      </w:pPr>
      <w:r>
        <w:t xml:space="preserve">Strategic partnerships with Istanbul-based engineering firms like Koca Construction</w:t>
      </w:r>
    </w:p>
    <w:bookmarkEnd w:id="26"/>
    <w:bookmarkStart w:id="27" w:name="promotion-hyper-localized-campaigns"/>
    <w:p>
      <w:pPr>
        <w:pStyle w:val="Heading3"/>
      </w:pPr>
      <w:r>
        <w:t xml:space="preserve">Promotion: Hyper-Localized Campaigns</w:t>
      </w:r>
    </w:p>
    <w:p>
      <w:pPr>
        <w:pStyle w:val="FirstParagraph"/>
      </w:pPr>
      <w:r>
        <w:t xml:space="preserve">We leverage Istanbul's cultural identity through:</w:t>
      </w:r>
    </w:p>
    <w:p>
      <w:pPr>
        <w:numPr>
          <w:ilvl w:val="0"/>
          <w:numId w:val="1005"/>
        </w:numPr>
        <w:pStyle w:val="Compact"/>
      </w:pPr>
      <w:r>
        <w:rPr>
          <w:iCs/>
          <w:i/>
        </w:rPr>
        <w:t xml:space="preserve">Content Marketing:</w:t>
      </w:r>
      <w:r>
        <w:t xml:space="preserve"> </w:t>
      </w:r>
      <w:r>
        <w:t xml:space="preserve">Blog series "Architecting Istanbul: 7 Secrets of Bosphorus Design" on LinkedIn, targeting local developers</w:t>
      </w:r>
    </w:p>
    <w:p>
      <w:pPr>
        <w:numPr>
          <w:ilvl w:val="0"/>
          <w:numId w:val="1005"/>
        </w:numPr>
        <w:pStyle w:val="Compact"/>
      </w:pPr>
      <w:r>
        <w:rPr>
          <w:iCs/>
          <w:i/>
        </w:rPr>
        <w:t xml:space="preserve">Influencer Collaborations:</w:t>
      </w:r>
      <w:r>
        <w:t xml:space="preserve"> </w:t>
      </w:r>
      <w:r>
        <w:t xml:space="preserve">Partnering with Turkish interior influencers (e.g., @IstanbulHomes) for studio tours</w:t>
      </w:r>
    </w:p>
    <w:p>
      <w:pPr>
        <w:numPr>
          <w:ilvl w:val="0"/>
          <w:numId w:val="1005"/>
        </w:numPr>
        <w:pStyle w:val="Compact"/>
      </w:pPr>
      <w:r>
        <w:rPr>
          <w:iCs/>
          <w:i/>
        </w:rPr>
        <w:t xml:space="preserve">Community Engagement:</w:t>
      </w:r>
      <w:r>
        <w:t xml:space="preserve"> </w:t>
      </w:r>
      <w:r>
        <w:t xml:space="preserve">Free workshops at Istanbul Technical University's Faculty of Architecture on "Adaptive Reuse in Historic Districts"</w:t>
      </w:r>
    </w:p>
    <w:p>
      <w:pPr>
        <w:numPr>
          <w:ilvl w:val="0"/>
          <w:numId w:val="1005"/>
        </w:numPr>
        <w:pStyle w:val="Compact"/>
      </w:pPr>
      <w:r>
        <w:rPr>
          <w:iCs/>
          <w:i/>
        </w:rPr>
        <w:t xml:space="preserve">Paid Media:</w:t>
      </w:r>
      <w:r>
        <w:t xml:space="preserve"> </w:t>
      </w:r>
      <w:r>
        <w:t xml:space="preserve">Geo-targeted Instagram ads highlighting projects in Kadıköy, using keywords: "Architect Turkey Istanbul" and "Heritage Design Istanbul"</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Landing page launch with Turkish/English toggle; Partner with Istanbul Chamber of Architects for credibility</w:t>
      </w:r>
    </w:p>
    <w:p>
      <w:pPr>
        <w:pStyle w:val="BodyText"/>
      </w:pPr>
      <w:r>
        <w:t xml:space="preserve">Q2 2024</w:t>
      </w:r>
    </w:p>
    <w:p>
      <w:pPr>
        <w:pStyle w:val="BodyText"/>
      </w:pPr>
      <w:r>
        <w:t xml:space="preserve">First Heritage Fusion™ case study release (Sultanahmet hotel conversion); Launch targeted LinkedIn campaigns in Turkey Istanbul</w:t>
      </w:r>
    </w:p>
    <w:p>
      <w:pPr>
        <w:pStyle w:val="BodyText"/>
      </w:pPr>
      <w:r>
        <w:t xml:space="preserve">Q3 2024</w:t>
      </w:r>
    </w:p>
    <w:p>
      <w:pPr>
        <w:pStyle w:val="BodyText"/>
      </w:pPr>
      <w:r>
        <w:t xml:space="preserve">&lt;</w:t>
      </w:r>
    </w:p>
    <w:p>
      <w:pPr>
        <w:pStyle w:val="BodyText"/>
      </w:pPr>
      <w:r>
        <w:t xml:space="preserve">Host "Istanbul Architecture Salon" networking event at Galata Tower; Secure 5 institutional contracts</w:t>
      </w:r>
    </w:p>
    <w:p>
      <w:pPr>
        <w:pStyle w:val="BodyText"/>
      </w:pPr>
      <w:r>
        <w:t xml:space="preserve">Q4 2024</w:t>
      </w:r>
    </w:p>
    <w:p>
      <w:pPr>
        <w:pStyle w:val="BodyText"/>
      </w:pPr>
      <w:r>
        <w:t xml:space="preserve">&lt;</w:t>
      </w:r>
    </w:p>
    <w:p>
      <w:pPr>
        <w:pStyle w:val="BodyText"/>
      </w:pPr>
      <w:r>
        <w:t xml:space="preserve">Analyze client acquisition cost; Refine digital strategy for Year 2 based on Istanbul market response</w:t>
      </w:r>
    </w:p>
    <w:bookmarkEnd w:id="29"/>
    <w:bookmarkStart w:id="30" w:name="budget-allocation-total-185000"/>
    <w:p>
      <w:pPr>
        <w:pStyle w:val="Heading2"/>
      </w:pPr>
      <w:r>
        <w:t xml:space="preserve">Budget Allocation (Total: $185,000)</w:t>
      </w:r>
    </w:p>
    <w:p>
      <w:pPr>
        <w:numPr>
          <w:ilvl w:val="0"/>
          <w:numId w:val="1006"/>
        </w:numPr>
        <w:pStyle w:val="Compact"/>
      </w:pPr>
      <w:r>
        <w:t xml:space="preserve">45% Digital Marketing (SEO/Google Ads targeting "Architect Turkey Istanbul," social media influencers)</w:t>
      </w:r>
    </w:p>
    <w:p>
      <w:pPr>
        <w:numPr>
          <w:ilvl w:val="0"/>
          <w:numId w:val="1006"/>
        </w:numPr>
        <w:pStyle w:val="Compact"/>
      </w:pPr>
      <w:r>
        <w:t xml:space="preserve">30% Event Participation &amp; Community Engagement (Art İstanbul booth, university workshops)</w:t>
      </w:r>
    </w:p>
    <w:p>
      <w:pPr>
        <w:numPr>
          <w:ilvl w:val="0"/>
          <w:numId w:val="1006"/>
        </w:numPr>
        <w:pStyle w:val="Compact"/>
      </w:pPr>
      <w:r>
        <w:t xml:space="preserve">15% Content Production (Case study videos, multilingual portfolio)</w:t>
      </w:r>
    </w:p>
    <w:p>
      <w:pPr>
        <w:numPr>
          <w:ilvl w:val="0"/>
          <w:numId w:val="1006"/>
        </w:numPr>
        <w:pStyle w:val="Compact"/>
      </w:pPr>
      <w:r>
        <w:t xml:space="preserve">10% Partnership Development (Chamber of Architects, local engineering firms)</w:t>
      </w:r>
    </w:p>
    <w:bookmarkEnd w:id="30"/>
    <w:bookmarkStart w:id="31" w:name="evaluation-metrics"/>
    <w:p>
      <w:pPr>
        <w:pStyle w:val="Heading2"/>
      </w:pPr>
      <w:r>
        <w:t xml:space="preserve">Evaluation Metrics</w:t>
      </w:r>
    </w:p>
    <w:p>
      <w:pPr>
        <w:pStyle w:val="FirstParagraph"/>
      </w:pPr>
      <w:r>
        <w:t xml:space="preserve">We track success through Istanbul-specific KPIs:</w:t>
      </w:r>
    </w:p>
    <w:p>
      <w:pPr>
        <w:numPr>
          <w:ilvl w:val="0"/>
          <w:numId w:val="1007"/>
        </w:numPr>
        <w:pStyle w:val="Compact"/>
      </w:pPr>
      <w:r>
        <w:rPr>
          <w:iCs/>
          <w:i/>
        </w:rPr>
        <w:t xml:space="preserve">Brand Recall:</w:t>
      </w:r>
      <w:r>
        <w:t xml:space="preserve"> </w:t>
      </w:r>
      <w:r>
        <w:t xml:space="preserve">65% increase in "Architect Turkey Istanbul" Google searches (measured via SEMrush)</w:t>
      </w:r>
    </w:p>
    <w:p>
      <w:pPr>
        <w:numPr>
          <w:ilvl w:val="0"/>
          <w:numId w:val="1007"/>
        </w:numPr>
        <w:pStyle w:val="Compact"/>
      </w:pPr>
      <w:r>
        <w:rPr>
          <w:iCs/>
          <w:i/>
        </w:rPr>
        <w:t xml:space="preserve">Lead Quality:</w:t>
      </w:r>
      <w:r>
        <w:t xml:space="preserve"> </w:t>
      </w:r>
      <w:r>
        <w:t xml:space="preserve">70% of inquiries from target segments (verified through CRM tagging)</w:t>
      </w:r>
    </w:p>
    <w:p>
      <w:pPr>
        <w:numPr>
          <w:ilvl w:val="0"/>
          <w:numId w:val="1007"/>
        </w:numPr>
        <w:pStyle w:val="Compact"/>
      </w:pPr>
      <w:r>
        <w:rPr>
          <w:iCs/>
          <w:i/>
        </w:rPr>
        <w:t xml:space="preserve">Client Lifetime Value:</w:t>
      </w:r>
      <w:r>
        <w:t xml:space="preserve"> </w:t>
      </w:r>
      <w:r>
        <w:t xml:space="preserve">$420k avg. per high-value project</w:t>
      </w:r>
    </w:p>
    <w:p>
      <w:pPr>
        <w:numPr>
          <w:ilvl w:val="0"/>
          <w:numId w:val="1007"/>
        </w:numPr>
        <w:pStyle w:val="Compact"/>
      </w:pPr>
      <w:r>
        <w:rPr>
          <w:iCs/>
          <w:i/>
        </w:rPr>
        <w:t xml:space="preserve">Cultural Impact:</w:t>
      </w:r>
      <w:r>
        <w:t xml:space="preserve"> </w:t>
      </w:r>
      <w:r>
        <w:t xml:space="preserve">Number of projects receiving Turkey Istanbul heritage awards (e.g., Mimar Sinan Awards)</w:t>
      </w:r>
    </w:p>
    <w:bookmarkEnd w:id="31"/>
    <w:bookmarkStart w:id="32" w:name="conclusion-architecting-istanbuls-future"/>
    <w:p>
      <w:pPr>
        <w:pStyle w:val="Heading2"/>
      </w:pPr>
      <w:r>
        <w:t xml:space="preserve">Conclusion: Architecting Istanbul's Future</w:t>
      </w:r>
    </w:p>
    <w:p>
      <w:pPr>
        <w:pStyle w:val="FirstParagraph"/>
      </w:pPr>
      <w:r>
        <w:t xml:space="preserve">This Marketing Plan positions our Architect firm as the indispensable partner for shaping Turkey Istanbul's built environment. By embedding cultural intelligence into every design and marketing touchpoint, we transcend traditional architectural services to become architects of Istanbul's narrative—where history informs innovation. As the city evolves from "a global crossroads" to "a living museum of modern design," our Marketing Plan ensures we don't just participate in that transformation but lead it. The strategic focus on Turkey Istanbul’s unique urban identity creates a defensible market position, turning architectural expertise into a cultural asset that resonates deeply with local and international clients alike.</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Turkey Istanbul</dc:title>
  <dc:creator/>
  <dc:language>en</dc:language>
  <cp:keywords/>
  <dcterms:created xsi:type="dcterms:W3CDTF">2025-12-13T07:28:33Z</dcterms:created>
  <dcterms:modified xsi:type="dcterms:W3CDTF">2025-12-13T07:28:33Z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