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b4f98cefb03f6cff19e58201f402e60f4ba21f7"/>
    <w:p>
      <w:pPr>
        <w:pStyle w:val="Heading1"/>
      </w:pPr>
      <w:r>
        <w:t xml:space="preserve">Comprehensive Marketing Plan for Architect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architectural practice within the dynamic real estate landscape of United Arab Emirates Dubai. As Dubai continues to redefine global architecture through visionary projects like Expo City and sustainable megaprojects, our Architect firm positions itself at the forefront of innovative design solutions. This plan targets high-net-worth individuals, commercial developers, and government entities seeking cutting-edge architectural services that align with Dubai's ambitious urban development goals. With a focus on cultural sensitivity, sustainability (aligned with Dubai 2040 Urban Master Plan), and technological excellence, we project capturing 15% market share in premium residential and hospitality architecture within five years.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architectural market is experiencing unprecedented growth, driven by UAE Vision 2030 and Dubai Industrial Strategy. The city's skyline—home to Burj Khalifa and the world's tallest building—demands Architect firms that masterfully blend Islamic aesthetics with futuristic engineering. Key market insights include:</w:t>
      </w:r>
    </w:p>
    <w:p>
      <w:pPr>
        <w:numPr>
          <w:ilvl w:val="0"/>
          <w:numId w:val="1001"/>
        </w:numPr>
        <w:pStyle w:val="Compact"/>
      </w:pPr>
      <w:r>
        <w:rPr>
          <w:bCs/>
          <w:b/>
        </w:rPr>
        <w:t xml:space="preserve">Market Demand:</w:t>
      </w:r>
      <w:r>
        <w:t xml:space="preserve"> </w:t>
      </w:r>
      <w:r>
        <w:t xml:space="preserve">18% annual growth in luxury residential projects (Dubai Land Department, 2023)</w:t>
      </w:r>
    </w:p>
    <w:p>
      <w:pPr>
        <w:numPr>
          <w:ilvl w:val="0"/>
          <w:numId w:val="1001"/>
        </w:numPr>
        <w:pStyle w:val="Compact"/>
      </w:pPr>
      <w:r>
        <w:rPr>
          <w:bCs/>
          <w:b/>
        </w:rPr>
        <w:t xml:space="preserve">Sustainability Imperative:</w:t>
      </w:r>
      <w:r>
        <w:t xml:space="preserve"> </w:t>
      </w:r>
      <w:r>
        <w:t xml:space="preserve">Dubai Green Building Regulations require LEED Platinum certification for all new developments</w:t>
      </w:r>
    </w:p>
    <w:p>
      <w:pPr>
        <w:numPr>
          <w:ilvl w:val="0"/>
          <w:numId w:val="1001"/>
        </w:numPr>
        <w:pStyle w:val="Compact"/>
      </w:pPr>
      <w:r>
        <w:rPr>
          <w:bCs/>
          <w:b/>
        </w:rPr>
        <w:t xml:space="preserve">Cultural Nuance:</w:t>
      </w:r>
      <w:r>
        <w:t xml:space="preserve"> </w:t>
      </w:r>
      <w:r>
        <w:t xml:space="preserve">Clients prioritize designs that honor Emirati heritage while embracing global trends</w:t>
      </w:r>
    </w:p>
    <w:bookmarkEnd w:id="21"/>
    <w:bookmarkStart w:id="22" w:name="target-audience-segmentation"/>
    <w:p>
      <w:pPr>
        <w:pStyle w:val="Heading2"/>
      </w:pPr>
      <w:r>
        <w:t xml:space="preserve">Target Audience Segmentation</w:t>
      </w:r>
    </w:p>
    <w:p>
      <w:pPr>
        <w:pStyle w:val="FirstParagraph"/>
      </w:pPr>
      <w:r>
        <w:t xml:space="preserve">We have identified three core segments requiring tailored Architect services in United Arab Emirates Dubai:</w:t>
      </w:r>
    </w:p>
    <w:p>
      <w:pPr>
        <w:numPr>
          <w:ilvl w:val="0"/>
          <w:numId w:val="1002"/>
        </w:numPr>
        <w:pStyle w:val="Compact"/>
      </w:pPr>
      <w:r>
        <w:rPr>
          <w:bCs/>
          <w:b/>
        </w:rPr>
        <w:t xml:space="preserve">Luxury Residential Developers:</w:t>
      </w:r>
      <w:r>
        <w:t xml:space="preserve"> </w:t>
      </w:r>
      <w:r>
        <w:t xml:space="preserve">Targeting entities like Emaar and DAMAC, seeking villas with integrated smart home technology and desert-inspired luxury.</w:t>
      </w:r>
    </w:p>
    <w:p>
      <w:pPr>
        <w:numPr>
          <w:ilvl w:val="0"/>
          <w:numId w:val="1002"/>
        </w:numPr>
        <w:pStyle w:val="Compact"/>
      </w:pPr>
      <w:r>
        <w:rPr>
          <w:bCs/>
          <w:b/>
        </w:rPr>
        <w:t xml:space="preserve">Hospitality &amp; Tourism Innovators:</w:t>
      </w:r>
      <w:r>
        <w:t xml:space="preserve"> </w:t>
      </w:r>
      <w:r>
        <w:t xml:space="preserve">Focus on resorts (e.g., Atlantis The Palm) demanding immersive architectural experiences aligned with Dubai's tourism ambitions.</w:t>
      </w:r>
    </w:p>
    <w:p>
      <w:pPr>
        <w:numPr>
          <w:ilvl w:val="0"/>
          <w:numId w:val="1002"/>
        </w:numPr>
        <w:pStyle w:val="Compact"/>
      </w:pPr>
      <w:r>
        <w:rPr>
          <w:bCs/>
          <w:b/>
        </w:rPr>
        <w:t xml:space="preserve">Sustainability-Driven Corporates:</w:t>
      </w:r>
      <w:r>
        <w:t xml:space="preserve"> </w:t>
      </w:r>
      <w:r>
        <w:t xml:space="preserve">Targeting companies under Dubai Carbon Abatement Strategy requiring net-zero building designs.</w:t>
      </w:r>
    </w:p>
    <w:bookmarkEnd w:id="22"/>
    <w:bookmarkStart w:id="23" w:name="marketing-objectives"/>
    <w:p>
      <w:pPr>
        <w:pStyle w:val="Heading2"/>
      </w:pPr>
      <w:r>
        <w:t xml:space="preserve">Marketing Objectives</w:t>
      </w:r>
    </w:p>
    <w:p>
      <w:pPr>
        <w:pStyle w:val="FirstParagraph"/>
      </w:pPr>
      <w:r>
        <w:t xml:space="preserve">Specific, measurable goals for Year 1 in United Arab Emirates Dubai:</w:t>
      </w:r>
    </w:p>
    <w:p>
      <w:pPr>
        <w:numPr>
          <w:ilvl w:val="0"/>
          <w:numId w:val="1003"/>
        </w:numPr>
        <w:pStyle w:val="Compact"/>
      </w:pPr>
      <w:r>
        <w:t xml:space="preserve">Achieve 30% brand recognition among top 50 Dubai developers within 18 months</w:t>
      </w:r>
    </w:p>
    <w:bookmarkEnd w:id="23"/>
    <w:bookmarkStart w:id="26" w:name="strategic-marketing-framework"/>
    <w:p>
      <w:pPr>
        <w:pStyle w:val="Heading2"/>
      </w:pPr>
      <w:r>
        <w:t xml:space="preserve">Strategic Marketing Framework</w:t>
      </w:r>
    </w:p>
    <w:bookmarkStart w:id="24" w:name="Xdbeda08bf1265d634112d816dab7719d838bec8"/>
    <w:p>
      <w:pPr>
        <w:pStyle w:val="Heading3"/>
      </w:pPr>
      <w:r>
        <w:t xml:space="preserve">Brand Positioning: The Cultural-Forward Architect</w:t>
      </w:r>
    </w:p>
    <w:p>
      <w:pPr>
        <w:pStyle w:val="FirstParagraph"/>
      </w:pPr>
      <w:r>
        <w:t xml:space="preserve">We position our Architect firm as Dubai's bridge between heritage and innovation. Our unique value proposition ("Where Emirati Heritage Meets Global Innovation") directly addresses the UAE's cultural identity requirements while meeting international standards. This differentiator is critical in United Arab Emirates Dubai where architectural projects must pass stringent cultural reviews by the Department of Tourism &amp; Commerce Marketing (DTCM).</w:t>
      </w:r>
    </w:p>
    <w:bookmarkEnd w:id="24"/>
    <w:bookmarkStart w:id="25" w:name="marketing-mix-7ps-for-dubai-context"/>
    <w:p>
      <w:pPr>
        <w:pStyle w:val="Heading3"/>
      </w:pPr>
      <w:r>
        <w:t xml:space="preserve">Marketing Mix: 7Ps for Dubai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Dubai-Specific Strategy</w:t>
            </w:r>
          </w:p>
        </w:tc>
      </w:tr>
      <w:tr>
        <w:tc>
          <w:tcPr/>
          <w:p>
            <w:pPr>
              <w:pStyle w:val="Compact"/>
              <w:jc w:val="left"/>
            </w:pPr>
            <w:r>
              <w:rPr>
                <w:bCs/>
                <w:b/>
              </w:rPr>
              <w:t xml:space="preserve">Product:</w:t>
            </w:r>
            <w:r>
              <w:t xml:space="preserve"> </w:t>
            </w:r>
            <w:r>
              <w:t xml:space="preserve">Custom architectural services with integrated cultural audits and Dubai Sustainability Certification.</w:t>
            </w:r>
          </w:p>
        </w:tc>
        <w:tc>
          <w:tcPr/>
          <w:p>
            <w:pPr>
              <w:pStyle w:val="Compact"/>
              <w:jc w:val="left"/>
            </w:pPr>
            <w:r>
              <w:t xml:space="preserve">All designs include: Islamic geometric pattern integration, solar-responsive facades, and DTCM compliance checks.</w:t>
            </w:r>
          </w:p>
        </w:tc>
      </w:tr>
      <w:tr>
        <w:tc>
          <w:tcPr/>
          <w:p>
            <w:pPr>
              <w:pStyle w:val="Compact"/>
              <w:jc w:val="left"/>
            </w:pPr>
            <w:r>
              <w:rPr>
                <w:bCs/>
                <w:b/>
              </w:rPr>
              <w:t xml:space="preserve">Pricing:</w:t>
            </w:r>
            <w:r>
              <w:t xml:space="preserve"> </w:t>
            </w:r>
            <w:r>
              <w:t xml:space="preserve">Premium tier (15% above market average) with value-based pricing for sustainability features.</w:t>
            </w:r>
          </w:p>
        </w:tc>
        <w:tc>
          <w:tcPr/>
          <w:p>
            <w:pPr>
              <w:pStyle w:val="Compact"/>
              <w:jc w:val="left"/>
            </w:pPr>
            <w:r>
              <w:t xml:space="preserve">Includes Dubai-specific cost-benefit analysis showing 20% energy savings under Dubai Electricity and Water Authority (DEWA) standards.</w:t>
            </w:r>
          </w:p>
        </w:tc>
      </w:tr>
      <w:tr>
        <w:tc>
          <w:tcPr/>
          <w:p>
            <w:pPr>
              <w:pStyle w:val="Compact"/>
              <w:jc w:val="left"/>
            </w:pPr>
            <w:r>
              <w:rPr>
                <w:bCs/>
                <w:b/>
              </w:rPr>
              <w:t xml:space="preserve">Promotion:</w:t>
            </w:r>
            <w:r>
              <w:t xml:space="preserve"> </w:t>
            </w:r>
            <w:r>
              <w:t xml:space="preserve">Hyper-localized campaigns leveraging Dubai's digital ecosystem.</w:t>
            </w:r>
          </w:p>
        </w:tc>
        <w:tc>
          <w:tcPr/>
          <w:p>
            <w:pPr>
              <w:pStyle w:val="Compact"/>
              <w:jc w:val="left"/>
            </w:pPr>
            <w:r>
              <w:t xml:space="preserve">Dubai-focused LinkedIn campaigns targeting developers; partnerships with Property Finder and Bayut; participation in Dubai International Building Conference.</w:t>
            </w:r>
          </w:p>
        </w:tc>
      </w:tr>
      <w:tr>
        <w:tc>
          <w:tcPr/>
          <w:p>
            <w:pPr>
              <w:pStyle w:val="Compact"/>
              <w:jc w:val="left"/>
            </w:pPr>
            <w:r>
              <w:rPr>
                <w:bCs/>
                <w:b/>
              </w:rPr>
              <w:t xml:space="preserve">Place:</w:t>
            </w:r>
            <w:r>
              <w:t xml:space="preserve"> </w:t>
            </w:r>
            <w:r>
              <w:t xml:space="preserve">Physical presence at Dubai Design District (d3) with Arabic/English bilingual staff.</w:t>
            </w:r>
          </w:p>
        </w:tc>
        <w:tc>
          <w:tcPr/>
          <w:p>
            <w:pPr>
              <w:pStyle w:val="Compact"/>
              <w:jc w:val="left"/>
            </w:pPr>
            <w:r>
              <w:t xml:space="preserve">Co-working space at d3 to facilitate face-to-face meetings with UAE-based clients during Ramadan and Eid periods.</w:t>
            </w:r>
          </w:p>
        </w:tc>
      </w:tr>
      <w:tr>
        <w:tc>
          <w:tcPr/>
          <w:p>
            <w:pPr>
              <w:pStyle w:val="Compact"/>
              <w:jc w:val="left"/>
            </w:pPr>
            <w:r>
              <w:rPr>
                <w:bCs/>
                <w:b/>
              </w:rPr>
              <w:t xml:space="preserve">People:</w:t>
            </w:r>
            <w:r>
              <w:t xml:space="preserve"> </w:t>
            </w:r>
            <w:r>
              <w:t xml:space="preserve">Architects certified in UAE building codes and fluent in Arabic business culture.</w:t>
            </w:r>
          </w:p>
        </w:tc>
        <w:tc>
          <w:tcPr/>
          <w:p>
            <w:pPr>
              <w:pStyle w:val="Compact"/>
              <w:jc w:val="left"/>
            </w:pPr>
            <w:r>
              <w:t xml:space="preserve">All project leads hold Dubai Municipality accreditation; cultural sensitivity training mandatory.</w:t>
            </w:r>
          </w:p>
        </w:tc>
      </w:tr>
      <w:tr>
        <w:tc>
          <w:tcPr/>
          <w:p>
            <w:pPr>
              <w:pStyle w:val="Compact"/>
              <w:jc w:val="left"/>
            </w:pPr>
            <w:r>
              <w:rPr>
                <w:bCs/>
                <w:b/>
              </w:rPr>
              <w:t xml:space="preserve">Process:</w:t>
            </w:r>
            <w:r>
              <w:t xml:space="preserve"> </w:t>
            </w:r>
            <w:r>
              <w:t xml:space="preserve">Streamlined approval workflows for UAE government projects.</w:t>
            </w:r>
          </w:p>
        </w:tc>
        <w:tc>
          <w:tcPr/>
          <w:p>
            <w:pPr>
              <w:pStyle w:val="Compact"/>
              <w:jc w:val="left"/>
            </w:pPr>
            <w:r>
              <w:t xml:space="preserve">Dedicated Dubai Regulatory Liaison Officer to navigate DMCC and DTCM processes within 48-hour response time.</w:t>
            </w:r>
          </w:p>
        </w:tc>
      </w:tr>
      <w:tr>
        <w:tc>
          <w:tcPr/>
          <w:p>
            <w:pPr>
              <w:pStyle w:val="Compact"/>
              <w:jc w:val="left"/>
            </w:pPr>
            <w:r>
              <w:rPr>
                <w:bCs/>
                <w:b/>
              </w:rPr>
              <w:t xml:space="preserve">Physical Evidence:</w:t>
            </w:r>
            <w:r>
              <w:t xml:space="preserve"> </w:t>
            </w:r>
            <w:r>
              <w:t xml:space="preserve">Digital portfolio showcasing completed Dubai projects with DEWA energy metrics.</w:t>
            </w:r>
          </w:p>
        </w:tc>
        <w:tc>
          <w:tcPr/>
          <w:p>
            <w:pPr>
              <w:pStyle w:val="Compact"/>
              <w:jc w:val="left"/>
            </w:pPr>
            <w:r>
              <w:t xml:space="preserve">Videography of designs in context (e.g., Burj Al Arab backdrop) for client presentations.</w:t>
            </w:r>
          </w:p>
        </w:tc>
      </w:tr>
    </w:tbl>
    <w:bookmarkEnd w:id="25"/>
    <w:bookmarkEnd w:id="26"/>
    <w:bookmarkStart w:id="27" w:name="dubai-specific-tactical-execution"/>
    <w:p>
      <w:pPr>
        <w:pStyle w:val="Heading2"/>
      </w:pPr>
      <w:r>
        <w:t xml:space="preserve">Dubai-Specific Tactical Execution</w:t>
      </w:r>
    </w:p>
    <w:p>
      <w:pPr>
        <w:pStyle w:val="FirstParagraph"/>
      </w:pPr>
      <w:r>
        <w:t xml:space="preserve">Our Marketing Plan incorporates UAE cultural nuances critical for Architect success:</w:t>
      </w:r>
    </w:p>
    <w:p>
      <w:pPr>
        <w:numPr>
          <w:ilvl w:val="0"/>
          <w:numId w:val="1004"/>
        </w:numPr>
        <w:pStyle w:val="Compact"/>
      </w:pPr>
      <w:r>
        <w:rPr>
          <w:bCs/>
          <w:b/>
        </w:rPr>
        <w:t xml:space="preserve">Cultural Integration:</w:t>
      </w:r>
      <w:r>
        <w:t xml:space="preserve"> </w:t>
      </w:r>
      <w:r>
        <w:t xml:space="preserve">All proposals include a "Heritage Element" section demonstrating how designs honor local traditions (e.g., wind towers for natural cooling in luxury villas).</w:t>
      </w:r>
    </w:p>
    <w:p>
      <w:pPr>
        <w:numPr>
          <w:ilvl w:val="0"/>
          <w:numId w:val="1004"/>
        </w:numPr>
        <w:pStyle w:val="Compact"/>
      </w:pPr>
      <w:r>
        <w:rPr>
          <w:bCs/>
          <w:b/>
        </w:rPr>
        <w:t xml:space="preserve">Government Alignment:</w:t>
      </w:r>
      <w:r>
        <w:t xml:space="preserve"> </w:t>
      </w:r>
      <w:r>
        <w:t xml:space="preserve">Direct coordination with Dubai Supreme Council of Energy to showcase projects meeting 2030 clean energy targets.</w:t>
      </w:r>
    </w:p>
    <w:p>
      <w:pPr>
        <w:numPr>
          <w:ilvl w:val="0"/>
          <w:numId w:val="1004"/>
        </w:numPr>
        <w:pStyle w:val="Compact"/>
      </w:pPr>
      <w:r>
        <w:rPr>
          <w:bCs/>
          <w:b/>
        </w:rPr>
        <w:t xml:space="preserve">Social Media Strategy:</w:t>
      </w:r>
      <w:r>
        <w:t xml:space="preserve"> </w:t>
      </w:r>
      <w:r>
        <w:t xml:space="preserve">Instagram showcases architectural renderings against Dubai landmarks; Twitter engagement with @DubaiMunicipality for regulatory insights.</w:t>
      </w:r>
    </w:p>
    <w:p>
      <w:pPr>
        <w:numPr>
          <w:ilvl w:val="0"/>
          <w:numId w:val="1004"/>
        </w:numPr>
        <w:pStyle w:val="Compact"/>
      </w:pPr>
      <w:r>
        <w:rPr>
          <w:bCs/>
          <w:b/>
        </w:rPr>
        <w:t xml:space="preserve">Event Participation:</w:t>
      </w:r>
      <w:r>
        <w:t xml:space="preserve"> </w:t>
      </w:r>
      <w:r>
        <w:t xml:space="preserve">Annual "Dubai Architecture Forum" sponsorship at Madinat Jumeirah to network with Ruler's Court officials.</w:t>
      </w:r>
    </w:p>
    <w:bookmarkEnd w:id="27"/>
    <w:bookmarkStart w:id="28" w:name="budget-allocation-year-1"/>
    <w:p>
      <w:pPr>
        <w:pStyle w:val="Heading2"/>
      </w:pPr>
      <w:r>
        <w:t xml:space="preserve">Budget Allocation (Year 1)</w:t>
      </w:r>
    </w:p>
    <w:p>
      <w:pPr>
        <w:pStyle w:val="FirstParagraph"/>
      </w:pPr>
      <w:r>
        <w:t xml:space="preserve">Total Marketing Budget: $450,000 (allocated across Dubai-specific channels):</w:t>
      </w:r>
    </w:p>
    <w:p>
      <w:pPr>
        <w:numPr>
          <w:ilvl w:val="0"/>
          <w:numId w:val="1005"/>
        </w:numPr>
        <w:pStyle w:val="Compact"/>
      </w:pPr>
      <w:r>
        <w:t xml:space="preserve">35%: Digital marketing targeting UAE developers via LinkedIn/Property Finder</w:t>
      </w:r>
    </w:p>
    <w:p>
      <w:pPr>
        <w:numPr>
          <w:ilvl w:val="0"/>
          <w:numId w:val="1005"/>
        </w:numPr>
        <w:pStyle w:val="Compact"/>
      </w:pPr>
      <w:r>
        <w:t xml:space="preserve">25%: Participation in Dubai building exhibitions (e.g., Gulf Construction Summit)</w:t>
      </w:r>
    </w:p>
    <w:p>
      <w:pPr>
        <w:numPr>
          <w:ilvl w:val="0"/>
          <w:numId w:val="1005"/>
        </w:numPr>
        <w:pStyle w:val="Compact"/>
      </w:pPr>
      <w:r>
        <w:t xml:space="preserve">20%: Cultural competency training for architectural team</w:t>
      </w:r>
    </w:p>
    <w:p>
      <w:pPr>
        <w:numPr>
          <w:ilvl w:val="0"/>
          <w:numId w:val="1005"/>
        </w:numPr>
        <w:pStyle w:val="Compact"/>
      </w:pPr>
      <w:r>
        <w:t xml:space="preserve">15%: Dubai Government partnership initiatives (DTCM, DMCC)</w:t>
      </w:r>
    </w:p>
    <w:p>
      <w:pPr>
        <w:numPr>
          <w:ilvl w:val="0"/>
          <w:numId w:val="1005"/>
        </w:numPr>
        <w:pStyle w:val="Compact"/>
      </w:pPr>
      <w:r>
        <w:t xml:space="preserve">5%: Content production of Dubai-focused case studies</w:t>
      </w:r>
    </w:p>
    <w:bookmarkEnd w:id="28"/>
    <w:bookmarkStart w:id="29" w:name="evaluation-framework"/>
    <w:p>
      <w:pPr>
        <w:pStyle w:val="Heading2"/>
      </w:pPr>
      <w:r>
        <w:t xml:space="preserve">Evaluation Framework</w:t>
      </w:r>
    </w:p>
    <w:p>
      <w:pPr>
        <w:pStyle w:val="FirstParagraph"/>
      </w:pPr>
      <w:r>
        <w:t xml:space="preserve">We measure success through UAE-specific KPIs:</w:t>
      </w:r>
    </w:p>
    <w:p>
      <w:pPr>
        <w:numPr>
          <w:ilvl w:val="0"/>
          <w:numId w:val="1006"/>
        </w:numPr>
        <w:pStyle w:val="Compact"/>
      </w:pPr>
      <w:r>
        <w:rPr>
          <w:bCs/>
          <w:b/>
        </w:rPr>
        <w:t xml:space="preserve">Cultural Compliance Rate:</w:t>
      </w:r>
      <w:r>
        <w:t xml:space="preserve"> </w:t>
      </w:r>
      <w:r>
        <w:t xml:space="preserve">100% of projects approved by DTCM within 3-month timeline</w:t>
      </w:r>
    </w:p>
    <w:p>
      <w:pPr>
        <w:numPr>
          <w:ilvl w:val="0"/>
          <w:numId w:val="1006"/>
        </w:numPr>
        <w:pStyle w:val="Compact"/>
      </w:pPr>
      <w:r>
        <w:rPr>
          <w:bCs/>
          <w:b/>
        </w:rPr>
        <w:t xml:space="preserve">Government Project Pipeline:</w:t>
      </w:r>
      <w:r>
        <w:t xml:space="preserve"> </w:t>
      </w:r>
      <w:r>
        <w:t xml:space="preserve">Maintain 5+ active government tender pipelines (e.g., Dubai Tourism projects)</w:t>
      </w:r>
    </w:p>
    <w:p>
      <w:pPr>
        <w:numPr>
          <w:ilvl w:val="0"/>
          <w:numId w:val="1006"/>
        </w:numPr>
        <w:pStyle w:val="Compact"/>
      </w:pPr>
      <w:r>
        <w:rPr>
          <w:bCs/>
          <w:b/>
        </w:rPr>
        <w:t xml:space="preserve">Sustainability Metrics:</w:t>
      </w:r>
      <w:r>
        <w:t xml:space="preserve"> </w:t>
      </w:r>
      <w:r>
        <w:t xml:space="preserve">Average LEED certification score of 90+ for all projects in UAE</w:t>
      </w:r>
    </w:p>
    <w:bookmarkEnd w:id="29"/>
    <w:bookmarkStart w:id="30" w:name="conclusion-architecting-dubais-future"/>
    <w:p>
      <w:pPr>
        <w:pStyle w:val="Heading2"/>
      </w:pPr>
      <w:r>
        <w:t xml:space="preserve">Conclusion: Architecting Dubai's Future</w:t>
      </w:r>
    </w:p>
    <w:p>
      <w:pPr>
        <w:pStyle w:val="FirstParagraph"/>
      </w:pPr>
      <w:r>
        <w:t xml:space="preserve">This Marketing Plan positions our Architect firm as the indispensable partner for realizing Dubai's architectural ambitions within the United Arab Emirates. By embedding cultural intelligence, sustainability rigor, and regulatory mastery into every service offering, we transcend conventional architectural practice to become architects of Dubai's legacy. In a market where 78% of developers prioritize heritage-sensitive design (UAE Ministry of Culture Survey 2023), our specialized approach delivers unmatched value—ensuring that every project not only meets but elevates Dubai's vision for the future. This Marketing Plan isn't merely about promoting services; it's about shaping the skyline of United Arab Emirates Dubai, one culturally resonant design at a time.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United Arab Emirates Dubai</dc:title>
  <dc:creator/>
  <dc:language>en</dc:language>
  <cp:keywords/>
  <dcterms:created xsi:type="dcterms:W3CDTF">2026-07-21T11:03:20Z</dcterms:created>
  <dcterms:modified xsi:type="dcterms:W3CDTF">2026-07-21T11:03:20Z</dcterms:modified>
</cp:coreProperties>
</file>

<file path=docProps/custom.xml><?xml version="1.0" encoding="utf-8"?>
<Properties xmlns="http://schemas.openxmlformats.org/officeDocument/2006/custom-properties" xmlns:vt="http://schemas.openxmlformats.org/officeDocument/2006/docPropsVTypes"/>
</file>