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287d97121512ed6b1ba65d60c75d988140e7a9"/>
    <w:p>
      <w:pPr>
        <w:pStyle w:val="Heading1"/>
      </w:pPr>
      <w:r>
        <w:t xml:space="preserve">Comprehensive Marketing Plan for Architect Services in United States Houston</w:t>
      </w:r>
    </w:p>
    <w:bookmarkStart w:id="20" w:name="executive-summary"/>
    <w:p>
      <w:pPr>
        <w:pStyle w:val="Heading2"/>
      </w:pPr>
      <w:r>
        <w:t xml:space="preserve">Executive Summary</w:t>
      </w:r>
    </w:p>
    <w:p>
      <w:pPr>
        <w:pStyle w:val="FirstParagraph"/>
      </w:pPr>
      <w:r>
        <w:t xml:space="preserve">This Marketing Plan outlines a strategic framework for establishing and growing an architectural firm in the competitive United States Houston market. As a premier Architect specializing in sustainable, innovative design solutions, our focus centers on capturing market share within Houston's rapidly expanding commercial, residential, and mixed-use development sectors. With over 2 million residents and $120 billion in annual construction activity (Houston-Galveston Area Council), the United States Houston market presents unparalleled opportunities for an Architect firm committed to excellence. This plan details actionable strategies to position our firm as the top choice for forward-thinking developers, municipal clients, and homeowners seeking cutting-edge architectural services.</w:t>
      </w:r>
    </w:p>
    <w:bookmarkEnd w:id="20"/>
    <w:bookmarkStart w:id="21" w:name="X4d6dfd22ebe47c13cf767cd59fec64fa9ce8bb9"/>
    <w:p>
      <w:pPr>
        <w:pStyle w:val="Heading2"/>
      </w:pPr>
      <w:r>
        <w:t xml:space="preserve">Situation Analysis: Houston Market Dynamics</w:t>
      </w:r>
    </w:p>
    <w:p>
      <w:pPr>
        <w:pStyle w:val="FirstParagraph"/>
      </w:pPr>
      <w:r>
        <w:t xml:space="preserve">United States Houston's architectural landscape is defined by unique challenges and opportunities. The city's explosive growth (projected 30% population increase by 2040) drives demand for resilient, climate-adaptive designs due to frequent extreme weather events. Major infrastructure projects like the $15 billion Downtown Transit Hub and the Energy Corridor expansion create consistent demand for a skilled Architect. Competitor analysis reveals three key gaps: limited firms offering integrated sustainability certifications (LEED Platinum, WELL), underdeveloped digital client experiences, and insufficient engagement with Houston's diverse cultural communities. Our firm will address these through data-driven design solutions tailored to Houston's specific environmental and socio-economic context.</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United States Houston:</w:t>
      </w:r>
    </w:p>
    <w:p>
      <w:pPr>
        <w:numPr>
          <w:ilvl w:val="0"/>
          <w:numId w:val="1001"/>
        </w:numPr>
        <w:pStyle w:val="Compact"/>
      </w:pPr>
      <w:r>
        <w:rPr>
          <w:bCs/>
          <w:b/>
        </w:rPr>
        <w:t xml:space="preserve">Commercial Developers:</w:t>
      </w:r>
      <w:r>
        <w:t xml:space="preserve"> </w:t>
      </w:r>
      <w:r>
        <w:t xml:space="preserve">Firms developing Class A office towers (e.g., in the Texas Medical Center or Downtown), prioritizing energy efficiency and tenant appeal.</w:t>
      </w:r>
    </w:p>
    <w:p>
      <w:pPr>
        <w:numPr>
          <w:ilvl w:val="0"/>
          <w:numId w:val="1001"/>
        </w:numPr>
        <w:pStyle w:val="Compact"/>
      </w:pPr>
      <w:r>
        <w:rPr>
          <w:bCs/>
          <w:b/>
        </w:rPr>
        <w:t xml:space="preserve">Municipal &amp; Institutional Clients:</w:t>
      </w:r>
      <w:r>
        <w:t xml:space="preserve"> </w:t>
      </w:r>
      <w:r>
        <w:t xml:space="preserve">City departments managing public projects (e.g., Houston Parks Board, Houston Methodist Hospital expansions) requiring ADA-compliant, community-focused design.</w:t>
      </w:r>
    </w:p>
    <w:p>
      <w:pPr>
        <w:numPr>
          <w:ilvl w:val="0"/>
          <w:numId w:val="1001"/>
        </w:numPr>
        <w:pStyle w:val="Compact"/>
      </w:pPr>
      <w:r>
        <w:rPr>
          <w:bCs/>
          <w:b/>
        </w:rPr>
        <w:t xml:space="preserve">High-Net-Worth Residential Clients:</w:t>
      </w:r>
      <w:r>
        <w:t xml:space="preserve"> </w:t>
      </w:r>
      <w:r>
        <w:t xml:space="preserve">Affluent homeowners in River Oaks and Memorial areas seeking luxury custom homes with smart technology integration.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30% market share among Houston-based firms offering sustainable commercial design services.</w:t>
      </w:r>
    </w:p>
    <w:p>
      <w:pPr>
        <w:numPr>
          <w:ilvl w:val="0"/>
          <w:numId w:val="1002"/>
        </w:numPr>
        <w:pStyle w:val="Compact"/>
      </w:pPr>
      <w:r>
        <w:t xml:space="preserve">Secure 5 municipal contracts for public infrastructure projects in United States Houston.</w:t>
      </w:r>
    </w:p>
    <w:p>
      <w:pPr>
        <w:numPr>
          <w:ilvl w:val="0"/>
          <w:numId w:val="1002"/>
        </w:numPr>
        <w:pStyle w:val="Compact"/>
      </w:pPr>
      <w:r>
        <w:t xml:space="preserve">Elevate brand recognition to top 3 consideration among Houston developers (measured via annual industry survey).</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will embed "Houston" into every touchpoint:</w:t>
      </w:r>
      <w:r>
        <w:t xml:space="preserve"> </w:t>
      </w:r>
      <w:r>
        <w:t xml:space="preserve">• Rebranding all materials to include "Houston Architect" in the firm name (e.g., "Veridian Architects: Houston's Sustainable Design Partner")</w:t>
      </w:r>
      <w:r>
        <w:t xml:space="preserve"> </w:t>
      </w:r>
      <w:r>
        <w:t xml:space="preserve">• Creating a Houston-specific case study library featuring projects like the Buffalo Bayou Park redesign and Midtown residential developments.</w:t>
      </w:r>
      <w:r>
        <w:t xml:space="preserve"> </w:t>
      </w:r>
      <w:r>
        <w:t xml:space="preserve">• Partnering with local entities such as Rice University's School of Architecture and Houston Chamber of Commerce to host "Houston Resilient Design" workshops.</w:t>
      </w:r>
    </w:p>
    <w:bookmarkEnd w:id="24"/>
    <w:bookmarkStart w:id="25" w:name="Xa4801f00eecd52e846d439f7ee58fe9445fe893"/>
    <w:p>
      <w:pPr>
        <w:pStyle w:val="Heading3"/>
      </w:pPr>
      <w:r>
        <w:t xml:space="preserve">2. Digital Dominance in United States Houston Market</w:t>
      </w:r>
    </w:p>
    <w:p>
      <w:pPr>
        <w:pStyle w:val="FirstParagraph"/>
      </w:pPr>
      <w:r>
        <w:t xml:space="preserve">A targeted digital strategy will drive 70% of lead generation:</w:t>
      </w:r>
      <w:r>
        <w:t xml:space="preserve"> </w:t>
      </w:r>
      <w:r>
        <w:t xml:space="preserve">• Geo-fenced LinkedIn campaigns targeting Houston developers with content on flood-resistant design (critical for United States Houston).</w:t>
      </w:r>
      <w:r>
        <w:t xml:space="preserve"> </w:t>
      </w:r>
      <w:r>
        <w:t xml:space="preserve">• SEO optimization for keywords: "Houston Architect," "Sustainable Design Firm Houston," "Commercial Architect Texas."</w:t>
      </w:r>
      <w:r>
        <w:t xml:space="preserve"> </w:t>
      </w:r>
      <w:r>
        <w:t xml:space="preserve">• Virtual tour platform showcasing 3D models of completed local projects, accessible via Google Maps integration.</w:t>
      </w:r>
      <w:r>
        <w:t xml:space="preserve"> </w:t>
      </w:r>
      <w:r>
        <w:t xml:space="preserve">• Mobile app feature allowing clients to visualize proposed designs on actual Houston properties using AR technology.</w:t>
      </w:r>
    </w:p>
    <w:bookmarkEnd w:id="25"/>
    <w:bookmarkStart w:id="26" w:name="community-driven-relationship-building"/>
    <w:p>
      <w:pPr>
        <w:pStyle w:val="Heading3"/>
      </w:pPr>
      <w:r>
        <w:t xml:space="preserve">3. Community-Driven Relationship Building</w:t>
      </w:r>
    </w:p>
    <w:p>
      <w:pPr>
        <w:pStyle w:val="FirstParagraph"/>
      </w:pPr>
      <w:r>
        <w:t xml:space="preserve">Unlike competitors, we prioritize authentic Houston engagement:</w:t>
      </w:r>
      <w:r>
        <w:t xml:space="preserve"> </w:t>
      </w:r>
      <w:r>
        <w:t xml:space="preserve">• Sponsorship of Houston Arts District events and H-Town Home Tour to increase brand visibility in residential markets.</w:t>
      </w:r>
      <w:r>
        <w:t xml:space="preserve"> </w:t>
      </w:r>
      <w:r>
        <w:t xml:space="preserve">• Free architectural consultations for community centers (e.g., at the Museum District), emphasizing inclusive design.</w:t>
      </w:r>
      <w:r>
        <w:t xml:space="preserve"> </w:t>
      </w:r>
      <w:r>
        <w:t xml:space="preserve">• Collaboration with HBCUs like Texas Southern University on student design competitions focused on Houston neighborhood revitalization.</w:t>
      </w:r>
    </w:p>
    <w:bookmarkEnd w:id="26"/>
    <w:bookmarkStart w:id="27" w:name="differentiated-service-offering"/>
    <w:p>
      <w:pPr>
        <w:pStyle w:val="Heading3"/>
      </w:pPr>
      <w:r>
        <w:t xml:space="preserve">4. Differentiated Service Offering</w:t>
      </w:r>
    </w:p>
    <w:p>
      <w:pPr>
        <w:pStyle w:val="FirstParagraph"/>
      </w:pPr>
      <w:r>
        <w:t xml:space="preserve">Our Architect services will feature Houston-specific differentiators:</w:t>
      </w:r>
      <w:r>
        <w:t xml:space="preserve"> </w:t>
      </w:r>
      <w:r>
        <w:t xml:space="preserve">• "Houston Climate-Resilience Certification" for all projects (addressing humidity, hurricanes, and heat islands).</w:t>
      </w:r>
      <w:r>
        <w:t xml:space="preserve"> </w:t>
      </w:r>
      <w:r>
        <w:t xml:space="preserve">• Integrated energy modeling using Houston's unique weather databases.</w:t>
      </w:r>
      <w:r>
        <w:t xml:space="preserve"> </w:t>
      </w:r>
      <w:r>
        <w:t xml:space="preserve">• Post-disaster recovery design services following events like Hurricane Beryl (2024), positioning us as a community pillar.</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Houston-Specific Focus</w:t>
      </w:r>
    </w:p>
    <w:p>
      <w:pPr>
        <w:pStyle w:val="BodyText"/>
      </w:pPr>
      <w:r>
        <w:t xml:space="preserve">Digital Advertising (Geo-targeted)</w:t>
      </w:r>
    </w:p>
    <w:p>
      <w:pPr>
        <w:pStyle w:val="BodyText"/>
      </w:pPr>
      <w:r>
        <w:t xml:space="preserve">35%</w:t>
      </w:r>
    </w:p>
    <w:p>
      <w:pPr>
        <w:pStyle w:val="BodyText"/>
      </w:pPr>
      <w:r>
        <w:t xml:space="preserve">Houston developer targeting via LinkedIn/Google Ads</w:t>
      </w:r>
    </w:p>
    <w:p>
      <w:pPr>
        <w:pStyle w:val="BodyText"/>
      </w:pPr>
      <w:r>
        <w:t xml:space="preserve">Community Events &amp; Sponsorships</w:t>
      </w:r>
    </w:p>
    <w:p>
      <w:pPr>
        <w:pStyle w:val="BodyText"/>
      </w:pPr>
      <w:r>
        <w:t xml:space="preserve">25%</w:t>
      </w:r>
    </w:p>
    <w:p>
      <w:pPr>
        <w:pStyle w:val="BodyText"/>
      </w:pPr>
      <w:r>
        <w:t xml:space="preserve">&lt; td&gt;Houston Arts District, Home Tour sponsorships</w:t>
      </w:r>
    </w:p>
    <w:p>
      <w:pPr>
        <w:pStyle w:val="BodyText"/>
      </w:pPr>
      <w:r>
        <w:t xml:space="preserve">Digital Content Creation</w:t>
      </w:r>
    </w:p>
    <w:p>
      <w:pPr>
        <w:pStyle w:val="BodyText"/>
      </w:pPr>
      <w:r>
        <w:t xml:space="preserve">20%</w:t>
      </w:r>
    </w:p>
    <w:p>
      <w:pPr>
        <w:pStyle w:val="BodyText"/>
      </w:pPr>
      <w:r>
        <w:t xml:space="preserve">Houston case studies, AR app development</w:t>
      </w:r>
    </w:p>
    <w:p>
      <w:pPr>
        <w:pStyle w:val="BodyText"/>
      </w:pPr>
      <w:r>
        <w:t xml:space="preserve">Partnership Development</w:t>
      </w:r>
    </w:p>
    <w:p>
      <w:pPr>
        <w:pStyle w:val="BodyText"/>
      </w:pPr>
      <w:r>
        <w:t xml:space="preserve">15%</w:t>
      </w:r>
    </w:p>
    <w:p>
      <w:pPr>
        <w:pStyle w:val="BodyText"/>
      </w:pPr>
      <w:r>
        <w:t xml:space="preserve">Rice University, Houston Chamber collaborations</w:t>
      </w:r>
    </w:p>
    <w:p>
      <w:pPr>
        <w:pStyle w:val="BodyText"/>
      </w:pPr>
      <w:r>
        <w:t xml:space="preserve">Contingency Fund</w:t>
      </w:r>
    </w:p>
    <w:p>
      <w:pPr>
        <w:pStyle w:val="BodyText"/>
      </w:pPr>
      <w:r>
        <w:t xml:space="preserve">&lt;</w:t>
      </w:r>
    </w:p>
    <w:p>
      <w:pPr>
        <w:pStyle w:val="BodyText"/>
      </w:pPr>
      <w:r>
        <w:t xml:space="preserve">5%</w:t>
      </w:r>
    </w:p>
    <w:p>
      <w:pPr>
        <w:pStyle w:val="BodyText"/>
      </w:pPr>
      <w:r>
        <w:t xml:space="preserve">Crisis response (e.g., hurricane-related services)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Houston market research, finalize "Houston Climate-Resilience Certification" framework, launch geo-targeted digital campaigns.</w:t>
      </w:r>
      <w:r>
        <w:t xml:space="preserve"> </w:t>
      </w:r>
      <w:r>
        <w:rPr>
          <w:bCs/>
          <w:b/>
        </w:rPr>
        <w:t xml:space="preserve">Months 4-6:</w:t>
      </w:r>
      <w:r>
        <w:t xml:space="preserve"> </w:t>
      </w:r>
      <w:r>
        <w:t xml:space="preserve">Host first community workshop at Museum District; secure first municipal contract (e.g., park renovation); debut AR visualization tool.</w:t>
      </w:r>
      <w:r>
        <w:t xml:space="preserve"> </w:t>
      </w:r>
      <w:r>
        <w:rPr>
          <w:bCs/>
          <w:b/>
        </w:rPr>
        <w:t xml:space="preserve">Months 7-9:</w:t>
      </w:r>
      <w:r>
        <w:t xml:space="preserve"> </w:t>
      </w:r>
      <w:r>
        <w:t xml:space="preserve">Execute Houston-specific case studies; expand HBCU partnership; attend Houston Builders Association conference.</w:t>
      </w:r>
      <w:r>
        <w:t xml:space="preserve"> </w:t>
      </w:r>
      <w:r>
        <w:rPr>
          <w:bCs/>
          <w:b/>
        </w:rPr>
        <w:t xml:space="preserve">Months 10-12:</w:t>
      </w:r>
      <w:r>
        <w:t xml:space="preserve"> </w:t>
      </w:r>
      <w:r>
        <w:t xml:space="preserve">Analyze metrics, refine strategy, pursue major commercial project (e.g., Energy Corridor office tower).</w:t>
      </w:r>
    </w:p>
    <w:bookmarkEnd w:id="30"/>
    <w:bookmarkStart w:id="31" w:name="evaluation-metrics"/>
    <w:p>
      <w:pPr>
        <w:pStyle w:val="Heading2"/>
      </w:pPr>
      <w:r>
        <w:t xml:space="preserve">Evaluation Metrics</w:t>
      </w:r>
    </w:p>
    <w:p>
      <w:pPr>
        <w:pStyle w:val="FirstParagraph"/>
      </w:pPr>
      <w:r>
        <w:t xml:space="preserve">We will track success through Houston-specific KPIs:</w:t>
      </w:r>
      <w:r>
        <w:t xml:space="preserve"> </w:t>
      </w:r>
      <w:r>
        <w:t xml:space="preserve">• Lead generation: 45% from United States Houston sources (tracked via geo-IP data).</w:t>
      </w:r>
      <w:r>
        <w:t xml:space="preserve"> </w:t>
      </w:r>
      <w:r>
        <w:t xml:space="preserve">• Client acquisition: 60% from targeted commercial/residential segments in Houston.</w:t>
      </w:r>
      <w:r>
        <w:t xml:space="preserve"> </w:t>
      </w:r>
      <w:r>
        <w:t xml:space="preserve">• Brand health: Increase "Top-of-mind" Architect recognition in Houston developer surveys by 35%.</w:t>
      </w:r>
      <w:r>
        <w:t xml:space="preserve"> </w:t>
      </w:r>
      <w:r>
        <w:t xml:space="preserve">• Community impact: 10+ completed pro-bono projects for Houston neighborhoods annually.</w:t>
      </w:r>
    </w:p>
    <w:bookmarkEnd w:id="31"/>
    <w:bookmarkStart w:id="32" w:name="conclusion"/>
    <w:p>
      <w:pPr>
        <w:pStyle w:val="Heading2"/>
      </w:pPr>
      <w:r>
        <w:t xml:space="preserve">Conclusion</w:t>
      </w:r>
    </w:p>
    <w:p>
      <w:pPr>
        <w:pStyle w:val="FirstParagraph"/>
      </w:pPr>
      <w:r>
        <w:t xml:space="preserve">This Marketing Plan establishes a clear path for our Architect firm to become the undisputed leader in United States Houston. By embedding hyperlocal expertise—addressing climate challenges, celebrating Houston's cultural fabric, and leveraging data-driven innovation—we will transform how clients perceive architectural services in the region. Unlike generic national firms, we commit to being "Houston's Architect" through community investment and market-specific solutions. With this focused strategy, we project capturing 15% of Houston’s $18B commercial design market within three years while driving measurable social impact across the city. The success of this Marketing Plan hinges on our unwavering commitment to excellence in every Houston project, from skyline-defining towers to neighborhood community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United States Houston</dc:title>
  <dc:creator/>
  <dc:language>en</dc:language>
  <cp:keywords/>
  <dcterms:created xsi:type="dcterms:W3CDTF">2026-07-21T08:23:17Z</dcterms:created>
  <dcterms:modified xsi:type="dcterms:W3CDTF">2026-07-21T08:23:17Z</dcterms:modified>
</cp:coreProperties>
</file>

<file path=docProps/custom.xml><?xml version="1.0" encoding="utf-8"?>
<Properties xmlns="http://schemas.openxmlformats.org/officeDocument/2006/custom-properties" xmlns:vt="http://schemas.openxmlformats.org/officeDocument/2006/docPropsVTypes"/>
</file>