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e0de3f0e05a3a45edc4dba5deaea9d601480408"/>
    <w:p>
      <w:pPr>
        <w:pStyle w:val="Heading1"/>
      </w:pPr>
      <w:r>
        <w:t xml:space="preserve">Comprehensive Marketing Plan for Premium Architect Services in United States Los Angeles</w:t>
      </w:r>
    </w:p>
    <w:bookmarkStart w:id="20" w:name="executive-summary"/>
    <w:p>
      <w:pPr>
        <w:pStyle w:val="Heading2"/>
      </w:pPr>
      <w:r>
        <w:t xml:space="preserve">Executive Summary</w:t>
      </w:r>
    </w:p>
    <w:p>
      <w:pPr>
        <w:pStyle w:val="FirstParagraph"/>
      </w:pPr>
      <w:r>
        <w:t xml:space="preserve">This Marketing Plan details a strategic roadmap for establishing and growing a premier architectural practice within the competitive United States Los Angeles market. Focusing on innovative residential and commercial design, our strategy targets high-net-worth individuals, developers, and businesses seeking sustainable, culturally resonant architecture in one of America's most dynamic urban landscapes. By leveraging Los Angeles' unique cultural fabric and economic opportunities, this plan positions our Architect firm as the definitive choice for transformative built environments across Southern California. The 12-month implementation strategy outlines measurable growth targets including a 40% increase in client acquisition and achieving top-3 market recognition in Los Angeles architectural services by Q4.</w:t>
      </w:r>
    </w:p>
    <w:bookmarkEnd w:id="20"/>
    <w:bookmarkStart w:id="21" w:name="Xdf99ba857e176b997976f09feef367417d2984b"/>
    <w:p>
      <w:pPr>
        <w:pStyle w:val="Heading2"/>
      </w:pPr>
      <w:r>
        <w:t xml:space="preserve">Market Analysis: United States Los Angeles Context</w:t>
      </w:r>
    </w:p>
    <w:p>
      <w:pPr>
        <w:pStyle w:val="FirstParagraph"/>
      </w:pPr>
      <w:r>
        <w:t xml:space="preserve">The Los Angeles architecture market represents a $1.2B industry segment within the broader United States construction economy, characterized by rapid urbanization, sustainability mandates (LA's Green Building Code 2030), and cultural diversity. Key trends include rising demand for net-zero energy residences (+37% YoY) and adaptive reuse of historic structures in neighborhoods like Downtown LA and Venice. Competitor analysis reveals a gap: while major firms dominate commercial projects, there's limited specialized focus on culturally integrated residential architecture for Los Angeles' diverse population—spanning from Beverly Hills million-dollar estates to eco-conscious Koreatown developments. Our Architect firm addresses this through a dual approach: cutting-edge sustainable design fused with contextual responsiveness to Los Angeles' unique urban identity.</w:t>
      </w:r>
    </w:p>
    <w:bookmarkEnd w:id="21"/>
    <w:bookmarkStart w:id="22" w:name="target-audience-segmentation"/>
    <w:p>
      <w:pPr>
        <w:pStyle w:val="Heading2"/>
      </w:pPr>
      <w:r>
        <w:t xml:space="preserve">Target Audience Segmentation</w:t>
      </w:r>
    </w:p>
    <w:p>
      <w:pPr>
        <w:pStyle w:val="FirstParagraph"/>
      </w:pPr>
      <w:r>
        <w:t xml:space="preserve">We’ve identified three core segments within United States Los Angeles:</w:t>
      </w:r>
    </w:p>
    <w:p>
      <w:pPr>
        <w:numPr>
          <w:ilvl w:val="0"/>
          <w:numId w:val="1001"/>
        </w:numPr>
        <w:pStyle w:val="Compact"/>
      </w:pPr>
      <w:r>
        <w:rPr>
          <w:bCs/>
          <w:b/>
        </w:rPr>
        <w:t xml:space="preserve">High-Value Residential Clients</w:t>
      </w:r>
      <w:r>
        <w:t xml:space="preserve">: Affluent homeowners (primarily 35-65 years) in exclusive neighborhoods (Bel Air, Holmby Hills, Pacific Palisades) seeking personalized luxury estates with seamless indoor-outdoor living. They prioritize architectural legacy and sustainability.</w:t>
      </w:r>
    </w:p>
    <w:p>
      <w:pPr>
        <w:numPr>
          <w:ilvl w:val="0"/>
          <w:numId w:val="1001"/>
        </w:numPr>
        <w:pStyle w:val="Compact"/>
      </w:pPr>
      <w:r>
        <w:rPr>
          <w:bCs/>
          <w:b/>
        </w:rPr>
        <w:t xml:space="preserve">Commercial Developers</w:t>
      </w:r>
      <w:r>
        <w:t xml:space="preserve">: Mid-to-large scale developers targeting LA's revitalization corridors (Arts District, South Park) needing compliance with stringent municipal codes plus marketable design differentiators.</w:t>
      </w:r>
    </w:p>
    <w:p>
      <w:pPr>
        <w:numPr>
          <w:ilvl w:val="0"/>
          <w:numId w:val="1001"/>
        </w:numPr>
        <w:pStyle w:val="Compact"/>
      </w:pPr>
      <w:r>
        <w:rPr>
          <w:bCs/>
          <w:b/>
        </w:rPr>
        <w:t xml:space="preserve">Corporate Sustainability Officers</w:t>
      </w:r>
      <w:r>
        <w:t xml:space="preserve">: Businesses across Los Angeles requiring LEED Platinum-certified office spaces aligned with California's Climate Action Plan.</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Acquire 35 new residential clients in LA (15% market share among premium firms)</w:t>
      </w:r>
    </w:p>
    <w:p>
      <w:pPr>
        <w:numPr>
          <w:ilvl w:val="0"/>
          <w:numId w:val="1002"/>
        </w:numPr>
        <w:pStyle w:val="Compact"/>
      </w:pPr>
      <w:r>
        <w:t xml:space="preserve">Secure 8 commercial projects across Los Angeles County</w:t>
      </w:r>
    </w:p>
    <w:p>
      <w:pPr>
        <w:numPr>
          <w:ilvl w:val="0"/>
          <w:numId w:val="1002"/>
        </w:numPr>
        <w:pStyle w:val="Compact"/>
      </w:pPr>
      <w:r>
        <w:t xml:space="preserve">Achieve 70% brand recognition among target audience in United States Los Angeles via local media</w:t>
      </w:r>
    </w:p>
    <w:p>
      <w:pPr>
        <w:numPr>
          <w:ilvl w:val="0"/>
          <w:numId w:val="1002"/>
        </w:numPr>
        <w:pStyle w:val="Compact"/>
      </w:pPr>
      <w:r>
        <w:t xml:space="preserve">Generate $1.2M in new project revenue (30% growth YoY)</w:t>
      </w:r>
    </w:p>
    <w:bookmarkEnd w:id="23"/>
    <w:bookmarkStart w:id="27" w:name="strategic-marketing-pillars"/>
    <w:p>
      <w:pPr>
        <w:pStyle w:val="Heading2"/>
      </w:pPr>
      <w:r>
        <w:t xml:space="preserve">Strategic Marketing Pillars</w:t>
      </w:r>
    </w:p>
    <w:bookmarkStart w:id="24" w:name="X3e7bb0c3b09b9ccd8cdff9a83b0137e8c2f3e4f"/>
    <w:p>
      <w:pPr>
        <w:pStyle w:val="Heading3"/>
      </w:pPr>
      <w:r>
        <w:t xml:space="preserve">Pillar 1: Hyper-Local Cultural Positioning</w:t>
      </w:r>
    </w:p>
    <w:p>
      <w:pPr>
        <w:pStyle w:val="FirstParagraph"/>
      </w:pPr>
      <w:r>
        <w:t xml:space="preserve">We reject generic "LA architecture" templates. Instead, every project becomes a cultural dialogue—integrating indigenous Tongva land acknowledgments in design narratives, Spanish Colonial Revival elements for historic neighborhoods, and modernist principles reflecting LA's mid-century legacy. This approach is embedded in all materials: our Architect website features neighborhood-specific case studies (e.g., "Ocean View Bungalow Restoration - Santa Monica") and a blog analyzing Los Angeles' architectural evolution. Partnerships with LA Cultural Affairs Department will position us as an industry thought leader through curated public talks at the Getty Center and MOCA.</w:t>
      </w:r>
    </w:p>
    <w:bookmarkEnd w:id="24"/>
    <w:bookmarkStart w:id="25" w:name="pillar-2-digital-precision-targeting"/>
    <w:p>
      <w:pPr>
        <w:pStyle w:val="Heading3"/>
      </w:pPr>
      <w:r>
        <w:t xml:space="preserve">Pillar 2: Digital Precision Targeting</w:t>
      </w:r>
    </w:p>
    <w:p>
      <w:pPr>
        <w:pStyle w:val="FirstParagraph"/>
      </w:pPr>
      <w:r>
        <w:t xml:space="preserve">Geotargeted digital campaigns focus exclusively on Los Angeles metro area. We'll deploy:</w:t>
      </w:r>
    </w:p>
    <w:p>
      <w:pPr>
        <w:numPr>
          <w:ilvl w:val="0"/>
          <w:numId w:val="1003"/>
        </w:numPr>
        <w:pStyle w:val="Compact"/>
      </w:pPr>
      <w:r>
        <w:t xml:space="preserve">Google Ads with keywords like "sustainable architect Los Angeles" and "Beverly Hills residential designer"</w:t>
      </w:r>
    </w:p>
    <w:p>
      <w:pPr>
        <w:numPr>
          <w:ilvl w:val="0"/>
          <w:numId w:val="1003"/>
        </w:numPr>
        <w:pStyle w:val="Compact"/>
      </w:pPr>
      <w:r>
        <w:t xml:space="preserve">Instagram/LinkedIn campaigns showcasing 3D walkthroughs of LA projects (e.g., "Sunset Boulevard Modernist Home") targeting ZIP codes 90001-90215</w:t>
      </w:r>
    </w:p>
    <w:p>
      <w:pPr>
        <w:numPr>
          <w:ilvl w:val="0"/>
          <w:numId w:val="1003"/>
        </w:numPr>
        <w:pStyle w:val="Compact"/>
      </w:pPr>
      <w:r>
        <w:t xml:space="preserve">SEO optimized for local searches: "Architect near me," "Commercial architect LA" with location-specific service pages</w:t>
      </w:r>
    </w:p>
    <w:bookmarkEnd w:id="25"/>
    <w:bookmarkStart w:id="26" w:name="X474f21ae28e31047f9681c7432f0658c309c3a7"/>
    <w:p>
      <w:pPr>
        <w:pStyle w:val="Heading3"/>
      </w:pPr>
      <w:r>
        <w:t xml:space="preserve">Pillar 3: Community Integration in United States Los Angeles</w:t>
      </w:r>
    </w:p>
    <w:p>
      <w:pPr>
        <w:pStyle w:val="FirstParagraph"/>
      </w:pPr>
      <w:r>
        <w:t xml:space="preserve">Beyond transactions, we build community trust. Initiatives include:</w:t>
      </w:r>
    </w:p>
    <w:p>
      <w:pPr>
        <w:numPr>
          <w:ilvl w:val="0"/>
          <w:numId w:val="1004"/>
        </w:numPr>
        <w:pStyle w:val="Compact"/>
      </w:pPr>
      <w:r>
        <w:t xml:space="preserve">Sponsoring the LA Architectural Heritage Society's "Save Our Landmarks" campaign</w:t>
      </w:r>
    </w:p>
    <w:p>
      <w:pPr>
        <w:numPr>
          <w:ilvl w:val="0"/>
          <w:numId w:val="1004"/>
        </w:numPr>
        <w:pStyle w:val="Compact"/>
      </w:pPr>
      <w:r>
        <w:t xml:space="preserve">Free workshops at LA Public Library branches (e.g., "Designing for Earthquake Resilience in Los Angeles")</w:t>
      </w:r>
    </w:p>
    <w:p>
      <w:pPr>
        <w:numPr>
          <w:ilvl w:val="0"/>
          <w:numId w:val="1004"/>
        </w:numPr>
        <w:pStyle w:val="Compact"/>
      </w:pPr>
      <w:r>
        <w:t xml:space="preserve">Partnership with LACMA for the "Urban Futures" exhibition, featuring our firm's sustainable concepts</w:t>
      </w:r>
    </w:p>
    <w:bookmarkEnd w:id="26"/>
    <w:bookmarkEnd w:id="27"/>
    <w:bookmarkStart w:id="28" w:name="budget-allocation-timeline"/>
    <w:p>
      <w:pPr>
        <w:pStyle w:val="Heading2"/>
      </w:pPr>
      <w:r>
        <w:t xml:space="preserve">Budget Allocation &amp;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Activity</w:t>
            </w:r>
          </w:p>
        </w:tc>
        <w:tc>
          <w:tcPr/>
          <w:p>
            <w:pPr>
              <w:pStyle w:val="Compact"/>
              <w:jc w:val="left"/>
            </w:pPr>
            <w:r>
              <w:t xml:space="preserve">Q1 2024</w:t>
            </w:r>
          </w:p>
        </w:tc>
        <w:tc>
          <w:tcPr/>
          <w:p>
            <w:pPr>
              <w:pStyle w:val="Compact"/>
              <w:jc w:val="left"/>
            </w:pPr>
            <w:r>
              <w:t xml:space="preserve">Q2 2024</w:t>
            </w:r>
          </w:p>
        </w:tc>
        <w:tc>
          <w:tcPr/>
          <w:p>
            <w:pPr>
              <w:pStyle w:val="Compact"/>
              <w:jc w:val="left"/>
            </w:pPr>
            <w:r>
              <w:t xml:space="preserve">Q3 2024</w:t>
            </w:r>
          </w:p>
        </w:tc>
        <w:tc>
          <w:tcPr/>
          <w:p>
            <w:pPr>
              <w:pStyle w:val="Compact"/>
              <w:jc w:val="left"/>
            </w:pPr>
            <w:r>
              <w:t xml:space="preserve">Total Budget</w:t>
            </w:r>
          </w:p>
        </w:tc>
      </w:tr>
      <w:tr>
        <w:tc>
          <w:tcPr/>
          <w:p>
            <w:pPr>
              <w:pStyle w:val="Compact"/>
              <w:jc w:val="left"/>
            </w:pPr>
            <w:r>
              <w:t xml:space="preserve">Digital Campaigns (Google/Instagram)</w:t>
            </w:r>
          </w:p>
        </w:tc>
        <w:tc>
          <w:tcPr/>
          <w:p>
            <w:pPr>
              <w:pStyle w:val="Compact"/>
              <w:jc w:val="left"/>
            </w:pPr>
            <w:r>
              <w:t xml:space="preserve">$18,500</w:t>
            </w:r>
          </w:p>
        </w:tc>
        <w:tc>
          <w:tcPr/>
          <w:p>
            <w:pPr>
              <w:pStyle w:val="Compact"/>
              <w:jc w:val="left"/>
            </w:pPr>
            <w:r>
              <w:t xml:space="preserve">$25,000</w:t>
            </w:r>
          </w:p>
        </w:tc>
        <w:tc>
          <w:tcPr/>
          <w:p>
            <w:pPr>
              <w:pStyle w:val="Compact"/>
              <w:jc w:val="left"/>
            </w:pPr>
            <w:r>
              <w:t xml:space="preserve">$15,500</w:t>
            </w:r>
          </w:p>
        </w:tc>
        <w:tc>
          <w:tcPr/>
          <w:p>
            <w:pPr>
              <w:pStyle w:val="Compact"/>
              <w:jc w:val="left"/>
            </w:pPr>
            <w:r>
              <w:t xml:space="preserve">$59,000</w:t>
            </w:r>
          </w:p>
        </w:tc>
      </w:tr>
      <w:tr>
        <w:tc>
          <w:tcPr/>
          <w:p>
            <w:pPr>
              <w:pStyle w:val="Compact"/>
              <w:jc w:val="left"/>
            </w:pPr>
            <w:r>
              <w:t xml:space="preserve">Community Events &amp; Partnerships</w:t>
            </w:r>
          </w:p>
        </w:tc>
        <w:tc>
          <w:tcPr/>
          <w:p>
            <w:pPr>
              <w:pStyle w:val="Compact"/>
              <w:jc w:val="left"/>
            </w:pPr>
            <w:r>
              <w:t xml:space="preserve">$12,347</w:t>
            </w:r>
          </w:p>
        </w:tc>
        <w:tc>
          <w:tcPr/>
          <w:p>
            <w:pPr>
              <w:pStyle w:val="Compact"/>
              <w:jc w:val="left"/>
            </w:pPr>
            <w:r>
              <w:t xml:space="preserve">$28,676</w:t>
            </w:r>
          </w:p>
        </w:tc>
        <w:tc>
          <w:tcPr/>
          <w:p>
            <w:pPr>
              <w:pStyle w:val="Compact"/>
              <w:jc w:val="left"/>
            </w:pPr>
            <w:r>
              <w:t xml:space="preserve">$15,000</w:t>
            </w:r>
          </w:p>
        </w:tc>
        <w:tc>
          <w:tcPr/>
          <w:p>
            <w:pPr>
              <w:pStyle w:val="Compact"/>
              <w:jc w:val="left"/>
            </w:pPr>
            <w:r>
              <w:t xml:space="preserve">$56,023</w:t>
            </w:r>
          </w:p>
        </w:tc>
      </w:tr>
      <w:tr>
        <w:tc>
          <w:tcPr/>
          <w:p>
            <w:pPr>
              <w:pStyle w:val="Compact"/>
              <w:jc w:val="left"/>
            </w:pPr>
            <w:r>
              <w:t xml:space="preserve">Content Production (Case Studies/Video)</w:t>
            </w:r>
          </w:p>
        </w:tc>
        <w:tc>
          <w:tcPr/>
          <w:p>
            <w:pPr>
              <w:pStyle w:val="Compact"/>
              <w:jc w:val="left"/>
            </w:pPr>
            <w:r>
              <w:t xml:space="preserve">$14,250</w:t>
            </w:r>
          </w:p>
        </w:tc>
        <w:tc>
          <w:tcPr/>
          <w:p>
            <w:pPr>
              <w:pStyle w:val="Compact"/>
              <w:jc w:val="left"/>
            </w:pPr>
            <w:r>
              <w:t xml:space="preserve">$8,967</w:t>
            </w:r>
          </w:p>
        </w:tc>
        <w:tc>
          <w:tcPr/>
          <w:p>
            <w:pPr>
              <w:pStyle w:val="Compact"/>
              <w:jc w:val="left"/>
            </w:pPr>
            <w:r>
              <w:t xml:space="preserve">$9,875</w:t>
            </w:r>
          </w:p>
        </w:tc>
        <w:tc>
          <w:tcPr/>
          <w:p>
            <w:pPr>
              <w:pStyle w:val="Compact"/>
              <w:jc w:val="left"/>
            </w:pPr>
            <w:r>
              <w:t xml:space="preserve">$33,092</w:t>
            </w:r>
          </w:p>
        </w:tc>
      </w:tr>
      <w:tr>
        <w:tc>
          <w:tcPr/>
          <w:p>
            <w:pPr>
              <w:pStyle w:val="Compact"/>
              <w:jc w:val="left"/>
            </w:pPr>
            <w:r>
              <w:t xml:space="preserve">Public Relations (LA Media)</w:t>
            </w:r>
          </w:p>
        </w:tc>
        <w:tc>
          <w:tcPr/>
          <w:p>
            <w:pPr>
              <w:pStyle w:val="Compact"/>
              <w:jc w:val="left"/>
            </w:pPr>
            <w:r>
              <w:t xml:space="preserve">$10,500</w:t>
            </w:r>
          </w:p>
        </w:tc>
        <w:tc>
          <w:tcPr/>
          <w:p>
            <w:pPr>
              <w:pStyle w:val="Compact"/>
              <w:jc w:val="left"/>
            </w:pPr>
            <w:r>
              <w:t xml:space="preserve">$12,345</w:t>
            </w:r>
          </w:p>
        </w:tc>
        <w:tc>
          <w:tcPr/>
          <w:p>
            <w:pPr>
              <w:pStyle w:val="Compact"/>
              <w:jc w:val="left"/>
            </w:pPr>
            <w:r>
              <w:t xml:space="preserve">$8,967</w:t>
            </w:r>
          </w:p>
        </w:tc>
        <w:tc>
          <w:tcPr/>
          <w:p>
            <w:pPr>
              <w:pStyle w:val="Compact"/>
              <w:jc w:val="left"/>
            </w:pPr>
            <w:r>
              <w:t xml:space="preserve">$31,812</w:t>
            </w:r>
          </w:p>
        </w:tc>
      </w:tr>
      <w:tr>
        <w:tc>
          <w:tcPr/>
          <w:p>
            <w:pPr>
              <w:pStyle w:val="Compact"/>
              <w:jc w:val="left"/>
            </w:pPr>
            <w:r>
              <w:rPr>
                <w:bCs/>
                <w:b/>
              </w:rPr>
              <w:t xml:space="preserve">TOTAL</w:t>
            </w:r>
          </w:p>
        </w:tc>
        <w:tc>
          <w:tcPr/>
          <w:p>
            <w:pPr>
              <w:pStyle w:val="Compact"/>
              <w:jc w:val="left"/>
            </w:pPr>
            <w:r>
              <w:t xml:space="preserve">$55,597</w:t>
            </w:r>
          </w:p>
        </w:tc>
        <w:tc>
          <w:tcPr/>
          <w:p>
            <w:pPr>
              <w:pStyle w:val="Compact"/>
              <w:jc w:val="left"/>
            </w:pPr>
            <w:r>
              <w:t xml:space="preserve">$74,988</w:t>
            </w:r>
          </w:p>
        </w:tc>
        <w:tc>
          <w:tcPr/>
          <w:p>
            <w:pPr>
              <w:pStyle w:val="Compact"/>
              <w:jc w:val="left"/>
            </w:pPr>
            <w:r>
              <w:t xml:space="preserve">$50,302</w:t>
            </w:r>
          </w:p>
        </w:tc>
        <w:tc>
          <w:tcPr/>
          <w:p>
            <w:pPr>
              <w:pStyle w:val="Compact"/>
              <w:jc w:val="left"/>
            </w:pPr>
            <w:r>
              <w:rPr>
                <w:bCs/>
                <w:b/>
              </w:rPr>
              <w:t xml:space="preserve">$180,887</w:t>
            </w:r>
          </w:p>
        </w:tc>
      </w:tr>
    </w:tbl>
    <w:bookmarkEnd w:id="28"/>
    <w:bookmarkStart w:id="29" w:name="measurement-optimization"/>
    <w:p>
      <w:pPr>
        <w:pStyle w:val="Heading2"/>
      </w:pPr>
      <w:r>
        <w:t xml:space="preserve">Measurement &amp; Optimization</w:t>
      </w:r>
    </w:p>
    <w:p>
      <w:pPr>
        <w:pStyle w:val="FirstParagraph"/>
      </w:pPr>
      <w:r>
        <w:t xml:space="preserve">We track success through Los Angeles-specific KPIs:</w:t>
      </w:r>
    </w:p>
    <w:p>
      <w:pPr>
        <w:numPr>
          <w:ilvl w:val="0"/>
          <w:numId w:val="1005"/>
        </w:numPr>
        <w:pStyle w:val="Compact"/>
      </w:pPr>
      <w:r>
        <w:rPr>
          <w:iCs/>
          <w:i/>
        </w:rPr>
        <w:t xml:space="preserve">Local Lead Quality:</w:t>
      </w:r>
      <w:r>
        <w:t xml:space="preserve"> </w:t>
      </w:r>
      <w:r>
        <w:t xml:space="preserve">65%+ conversion from LA-based website inquiries (measured via call tracking)</w:t>
      </w:r>
    </w:p>
    <w:p>
      <w:pPr>
        <w:numPr>
          <w:ilvl w:val="0"/>
          <w:numId w:val="1005"/>
        </w:numPr>
        <w:pStyle w:val="Compact"/>
      </w:pPr>
      <w:r>
        <w:rPr>
          <w:iCs/>
          <w:i/>
        </w:rPr>
        <w:t xml:space="preserve">Cultural Relevance:</w:t>
      </w:r>
      <w:r>
        <w:t xml:space="preserve"> </w:t>
      </w:r>
      <w:r>
        <w:t xml:space="preserve">Client surveys scoring design solutions as "culturally resonant" (target: 85%)</w:t>
      </w:r>
    </w:p>
    <w:p>
      <w:pPr>
        <w:numPr>
          <w:ilvl w:val="0"/>
          <w:numId w:val="1005"/>
        </w:numPr>
        <w:pStyle w:val="Compact"/>
      </w:pPr>
      <w:r>
        <w:rPr>
          <w:iCs/>
          <w:i/>
        </w:rPr>
        <w:t xml:space="preserve">Community Impact:</w:t>
      </w:r>
      <w:r>
        <w:t xml:space="preserve"> </w:t>
      </w:r>
      <w:r>
        <w:t xml:space="preserve">10+ partnerships with LA cultural institutions by Q4</w:t>
      </w:r>
    </w:p>
    <w:p>
      <w:pPr>
        <w:pStyle w:val="FirstParagraph"/>
      </w:pPr>
      <w:r>
        <w:t xml:space="preserve">Biweekly adjustments will occur based on LA-specific data—e.g., if Venice Beach inquiries spike, we’ll deploy targeted content there. Monthly reviews with the Los Angeles Chamber of Commerce ensure alignment with regional economic shifts.</w:t>
      </w:r>
    </w:p>
    <w:bookmarkEnd w:id="29"/>
    <w:bookmarkStart w:id="30" w:name="Xe3dbcee5ae6bfdb9fce366084262c4b6dd48260"/>
    <w:p>
      <w:pPr>
        <w:pStyle w:val="Heading2"/>
      </w:pPr>
      <w:r>
        <w:t xml:space="preserve">Conclusion: Architecting Los Angeles' Future</w:t>
      </w:r>
    </w:p>
    <w:p>
      <w:pPr>
        <w:pStyle w:val="FirstParagraph"/>
      </w:pPr>
      <w:r>
        <w:t xml:space="preserve">This Marketing Plan transcends standard advertising to establish our Architect firm as indispensable to Los Angeles' evolving identity. By deeply embedding ourselves in the city’s cultural and environmental narrative—rather than merely selling services—we create sustainable demand that aligns with both client aspirations and Los Angeles’ unique pulse. Our focus on contextual innovation, hyper-local engagement, and data-driven community integration positions us not just as an Architect service provider, but as a steward of United States Los Angeles' built legacy. This strategy ensures every project we deliver doesn’t just meet expectations—it redefines what architecture means in one of America’s most iconic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United States Los Angeles</dc:title>
  <dc:creator/>
  <dc:language>en</dc:language>
  <cp:keywords/>
  <dcterms:created xsi:type="dcterms:W3CDTF">2026-07-24T09:59:03Z</dcterms:created>
  <dcterms:modified xsi:type="dcterms:W3CDTF">2026-07-24T09:59:03Z</dcterms:modified>
</cp:coreProperties>
</file>

<file path=docProps/custom.xml><?xml version="1.0" encoding="utf-8"?>
<Properties xmlns="http://schemas.openxmlformats.org/officeDocument/2006/custom-properties" xmlns:vt="http://schemas.openxmlformats.org/officeDocument/2006/docPropsVTypes"/>
</file>