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Architect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78ef4231f80d82766f385aa8eaa2a6d0bdb69fd"/>
    <w:p>
      <w:pPr>
        <w:pStyle w:val="Heading1"/>
      </w:pPr>
      <w:r>
        <w:t xml:space="preserve">Comprehensive Marketing Plan for Elite Architect Services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establishing and scaling an elite architectural practice within the competitive landscape of United States New York City. As a premier Architect firm, our mission is to redefine urban design excellence through innovative, sustainable, and culturally resonant solutions for Manhattan's evolving skyline. Targeting high-net-worth individuals, commercial developers, and institutional clients in the most dynamic real estate market globally, this plan details how we will capture 15% market share within NYC's luxury residential and commercial architecture segment by 2027. The plan leverages New York City's unique urban challenges—density constraints, historic preservation requirements, and climate resilience needs—to position our Architect practice as the indispensable partner for transformative projects across the United States.</w:t>
      </w:r>
    </w:p>
    <w:bookmarkEnd w:id="20"/>
    <w:bookmarkStart w:id="21" w:name="X2e20bcd9633440936878c7c7ab8dae1d797c8cc"/>
    <w:p>
      <w:pPr>
        <w:pStyle w:val="Heading2"/>
      </w:pPr>
      <w:r>
        <w:t xml:space="preserve">Situation Analysis: New York City Architecture Market</w:t>
      </w:r>
    </w:p>
    <w:p>
      <w:pPr>
        <w:pStyle w:val="FirstParagraph"/>
      </w:pPr>
      <w:r>
        <w:t xml:space="preserve">New York City represents a $58.3 billion architecture market (CBRE 2023) with unprecedented demand for bespoke solutions. The city's zoning codes, historic district regulations, and post-pandemic demand for flexible workspaces create complex opportunities requiring specialized Architect expertise. Our SWOT analysis reveals:</w:t>
      </w:r>
    </w:p>
    <w:p>
      <w:pPr>
        <w:numPr>
          <w:ilvl w:val="0"/>
          <w:numId w:val="1001"/>
        </w:numPr>
        <w:pStyle w:val="Compact"/>
      </w:pPr>
      <w:r>
        <w:rPr>
          <w:bCs/>
          <w:b/>
        </w:rPr>
        <w:t xml:space="preserve">Strengths:</w:t>
      </w:r>
      <w:r>
        <w:t xml:space="preserve"> </w:t>
      </w:r>
      <w:r>
        <w:t xml:space="preserve">Deep understanding of NYC's unique regulatory environment, award-winning portfolio in adaptive reuse projects.</w:t>
      </w:r>
    </w:p>
    <w:p>
      <w:pPr>
        <w:numPr>
          <w:ilvl w:val="0"/>
          <w:numId w:val="1001"/>
        </w:numPr>
        <w:pStyle w:val="Compact"/>
      </w:pPr>
      <w:r>
        <w:rPr>
          <w:bCs/>
          <w:b/>
        </w:rPr>
        <w:t xml:space="preserve">Weaknesses:</w:t>
      </w:r>
      <w:r>
        <w:t xml:space="preserve"> </w:t>
      </w:r>
      <w:r>
        <w:t xml:space="preserve">Limited brand recognition outside Manhattan among institutional clients.</w:t>
      </w:r>
    </w:p>
    <w:p>
      <w:pPr>
        <w:numPr>
          <w:ilvl w:val="0"/>
          <w:numId w:val="1001"/>
        </w:numPr>
        <w:pStyle w:val="Compact"/>
      </w:pPr>
      <w:r>
        <w:rPr>
          <w:bCs/>
          <w:b/>
        </w:rPr>
        <w:t xml:space="preserve">Opportunities:</w:t>
      </w:r>
      <w:r>
        <w:t xml:space="preserve"> </w:t>
      </w:r>
      <w:r>
        <w:t xml:space="preserve">$2.1B in new residential construction permits (NYC Department of Buildings 2024) and NYC's mandate for carbon-neutral buildings by 2050.</w:t>
      </w:r>
    </w:p>
    <w:p>
      <w:pPr>
        <w:numPr>
          <w:ilvl w:val="0"/>
          <w:numId w:val="1001"/>
        </w:numPr>
        <w:pStyle w:val="Compact"/>
      </w:pPr>
      <w:r>
        <w:rPr>
          <w:bCs/>
          <w:b/>
        </w:rPr>
        <w:t xml:space="preserve">Threats:</w:t>
      </w:r>
      <w:r>
        <w:t xml:space="preserve"> </w:t>
      </w:r>
      <w:r>
        <w:t xml:space="preserve">Economic volatility impacting high-end development and rising competition from national firms entering NYC market.</w:t>
      </w:r>
    </w:p>
    <w:bookmarkEnd w:id="21"/>
    <w:bookmarkStart w:id="22" w:name="X0deb1f06db8395144f48f8636c11d98c126d237"/>
    <w:p>
      <w:pPr>
        <w:pStyle w:val="Heading2"/>
      </w:pPr>
      <w:r>
        <w:t xml:space="preserve">Target Audience in United States New York City</w:t>
      </w:r>
    </w:p>
    <w:p>
      <w:pPr>
        <w:pStyle w:val="FirstParagraph"/>
      </w:pPr>
      <w:r>
        <w:t xml:space="preserve">We focus on three high-value segments within United States New York City:</w:t>
      </w:r>
    </w:p>
    <w:p>
      <w:pPr>
        <w:numPr>
          <w:ilvl w:val="0"/>
          <w:numId w:val="1002"/>
        </w:numPr>
        <w:pStyle w:val="Compact"/>
      </w:pPr>
      <w:r>
        <w:rPr>
          <w:bCs/>
          <w:b/>
        </w:rPr>
        <w:t xml:space="preserve">Luxury Residential Developers:</w:t>
      </w:r>
      <w:r>
        <w:t xml:space="preserve"> </w:t>
      </w:r>
      <w:r>
        <w:t xml:space="preserve">Firms constructing $10M+ residences in Tribeca, Brooklyn Heights, and Upper East Side. They require Architects who understand NYC's historic preservation overlay districts and can deliver status-driven designs.</w:t>
      </w:r>
    </w:p>
    <w:p>
      <w:pPr>
        <w:numPr>
          <w:ilvl w:val="0"/>
          <w:numId w:val="1002"/>
        </w:numPr>
        <w:pStyle w:val="Compact"/>
      </w:pPr>
      <w:r>
        <w:rPr>
          <w:bCs/>
          <w:b/>
        </w:rPr>
        <w:t xml:space="preserve">Institutional Clients:</w:t>
      </w:r>
      <w:r>
        <w:t xml:space="preserve"> </w:t>
      </w:r>
      <w:r>
        <w:t xml:space="preserve">Museums (e.g., MoMA), universities (Columbia, NYU), and healthcare systems needing sustainable campus transformations that meet NYC's Local Law 97 compliance.</w:t>
      </w:r>
    </w:p>
    <w:p>
      <w:pPr>
        <w:numPr>
          <w:ilvl w:val="0"/>
          <w:numId w:val="1002"/>
        </w:numPr>
        <w:pStyle w:val="Compact"/>
      </w:pPr>
      <w:r>
        <w:rPr>
          <w:bCs/>
          <w:b/>
        </w:rPr>
        <w:t xml:space="preserve">High-Net-Worth Individuals (HNWIs):</w:t>
      </w:r>
      <w:r>
        <w:t xml:space="preserve"> </w:t>
      </w:r>
      <w:r>
        <w:t xml:space="preserve">Affluent residents seeking bespoke urban villas or penthouse renovations who demand privacy and architectural distinction in the tightest NYC real estate market.</w:t>
      </w:r>
    </w:p>
    <w:p>
      <w:pPr>
        <w:pStyle w:val="FirstParagraph"/>
      </w:pPr>
      <w:r>
        <w:t xml:space="preserve">These audiences prioritize Architects who navigate NYC's permitting labyrinth while delivering culturally significant spaces—making our local expertise a non-negotiable differentiator across United States New York City.</w:t>
      </w:r>
    </w:p>
    <w:bookmarkEnd w:id="22"/>
    <w:bookmarkStart w:id="23" w:name="marketing-objectives"/>
    <w:p>
      <w:pPr>
        <w:pStyle w:val="Heading2"/>
      </w:pPr>
      <w:r>
        <w:t xml:space="preserve">Marketing Objectives</w:t>
      </w:r>
    </w:p>
    <w:p>
      <w:pPr>
        <w:pStyle w:val="FirstParagraph"/>
      </w:pPr>
      <w:r>
        <w:t xml:space="preserve">We define SMART objectives for the next 36 months:</w:t>
      </w:r>
    </w:p>
    <w:p>
      <w:pPr>
        <w:numPr>
          <w:ilvl w:val="0"/>
          <w:numId w:val="1003"/>
        </w:numPr>
        <w:pStyle w:val="Compact"/>
      </w:pPr>
      <w:r>
        <w:t xml:space="preserve">Secure 45+ signed projects with NYC-based clients, generating $18M in annual revenue (30% from new client acquisition).</w:t>
      </w:r>
    </w:p>
    <w:p>
      <w:pPr>
        <w:numPr>
          <w:ilvl w:val="0"/>
          <w:numId w:val="1003"/>
        </w:numPr>
        <w:pStyle w:val="Compact"/>
      </w:pPr>
      <w:r>
        <w:t xml:space="preserve">Achieve 75% brand recall among top 200 NYC developers through targeted industry engagement.</w:t>
      </w:r>
    </w:p>
    <w:p>
      <w:pPr>
        <w:numPr>
          <w:ilvl w:val="0"/>
          <w:numId w:val="1003"/>
        </w:numPr>
        <w:pStyle w:val="Compact"/>
      </w:pPr>
      <w:r>
        <w:t xml:space="preserve">Position our Architect practice as the #1 firm for sustainable luxury residential projects in Manhattan (per NY Times Architecture Survey).</w:t>
      </w:r>
    </w:p>
    <w:p>
      <w:pPr>
        <w:numPr>
          <w:ilvl w:val="0"/>
          <w:numId w:val="1003"/>
        </w:numPr>
        <w:pStyle w:val="Compact"/>
      </w:pPr>
      <w:r>
        <w:t xml:space="preserve">Build partnerships with 5 key NYC institutions (e.g., NYC Department of Design and Construction) by Year 2.</w:t>
      </w:r>
    </w:p>
    <w:bookmarkEnd w:id="23"/>
    <w:bookmarkStart w:id="24" w:name="X864fbe3139dc90cc6a46fd07ddf36e555f1dc42"/>
    <w:p>
      <w:pPr>
        <w:pStyle w:val="Heading2"/>
      </w:pPr>
      <w:r>
        <w:t xml:space="preserve">Marketing Strategies: The New York City Advantage</w:t>
      </w:r>
    </w:p>
    <w:p>
      <w:pPr>
        <w:pStyle w:val="FirstParagraph"/>
      </w:pPr>
      <w:r>
        <w:rPr>
          <w:bCs/>
          <w:b/>
        </w:rPr>
        <w:t xml:space="preserve">Product Strategy:</w:t>
      </w:r>
      <w:r>
        <w:t xml:space="preserve"> </w:t>
      </w:r>
      <w:r>
        <w:t xml:space="preserve">We develop hyper-localized architectural services tailored to NYC's constraints—offering "NYC-Compliance Packages" that integrate historic district approvals, FEMA flood zone adaptation, and energy code optimization. Our flagship service, the "Urban Resonance Consultation," analyzes how new designs harmonize with neighborhood character—a critical differentiator for our Architect practice.</w:t>
      </w:r>
    </w:p>
    <w:p>
      <w:pPr>
        <w:pStyle w:val="BodyText"/>
      </w:pPr>
      <w:r>
        <w:rPr>
          <w:bCs/>
          <w:b/>
        </w:rPr>
        <w:t xml:space="preserve">Pricing Strategy:</w:t>
      </w:r>
      <w:r>
        <w:t xml:space="preserve"> </w:t>
      </w:r>
      <w:r>
        <w:t xml:space="preserve">Value-based pricing aligned with NYC's premium market. Residential projects start at $85K (vs. industry avg. $62K), reflecting our 30% reduction in permitting delays through expert regulatory navigation. Commercial projects use a tiered model: 2% of construction value for institutional work, with performance bonuses tied to achieving NYC sustainability benchmarks.</w:t>
      </w:r>
    </w:p>
    <w:p>
      <w:pPr>
        <w:pStyle w:val="BodyText"/>
      </w:pPr>
      <w:r>
        <w:rPr>
          <w:bCs/>
          <w:b/>
        </w:rPr>
        <w:t xml:space="preserve">Place (Distribution) Strategy:</w:t>
      </w:r>
      <w:r>
        <w:t xml:space="preserve"> </w:t>
      </w:r>
      <w:r>
        <w:t xml:space="preserve">Our physical presence is strategically limited to a Tribeca studio—symbolizing our deep NYC roots while avoiding the overhead of multiple offices. Digital engagement dominates: an exclusive NYC-focused platform offering real-time zoning map visualization, virtual tours of completed projects across Manhattan, and AI-powered feasibility analysis for prospective clients.</w:t>
      </w:r>
    </w:p>
    <w:p>
      <w:pPr>
        <w:pStyle w:val="BodyText"/>
      </w:pPr>
      <w:r>
        <w:rPr>
          <w:bCs/>
          <w:b/>
        </w:rPr>
        <w:t xml:space="preserve">Promotion Strategy:</w:t>
      </w:r>
      <w:r>
        <w:t xml:space="preserve"> </w:t>
      </w:r>
      <w:r>
        <w:t xml:space="preserve">This is where our Architect practice truly differentiates:</w:t>
      </w:r>
    </w:p>
    <w:p>
      <w:pPr>
        <w:numPr>
          <w:ilvl w:val="0"/>
          <w:numId w:val="1004"/>
        </w:numPr>
        <w:pStyle w:val="Compact"/>
      </w:pPr>
      <w:r>
        <w:rPr>
          <w:iCs/>
          <w:i/>
        </w:rPr>
        <w:t xml:space="preserve">NYC-Specific Thought Leadership:</w:t>
      </w:r>
      <w:r>
        <w:t xml:space="preserve"> </w:t>
      </w:r>
      <w:r>
        <w:t xml:space="preserve">Monthly "Urban Design Briefs" published on platforms like Curbed NYC, addressing current challenges (e.g., "Navigating Post-Pandemic Luxury Retail in SoHo").</w:t>
      </w:r>
    </w:p>
    <w:p>
      <w:pPr>
        <w:numPr>
          <w:ilvl w:val="0"/>
          <w:numId w:val="1004"/>
        </w:numPr>
        <w:pStyle w:val="Compact"/>
      </w:pPr>
      <w:r>
        <w:rPr>
          <w:iCs/>
          <w:i/>
        </w:rPr>
        <w:t xml:space="preserve">Strategic Partnerships:</w:t>
      </w:r>
      <w:r>
        <w:t xml:space="preserve"> </w:t>
      </w:r>
      <w:r>
        <w:t xml:space="preserve">Co-hosting events with NYC Department of Buildings and AIA New York, featuring exclusive access to zoning workshops.</w:t>
      </w:r>
    </w:p>
    <w:p>
      <w:pPr>
        <w:numPr>
          <w:ilvl w:val="0"/>
          <w:numId w:val="1004"/>
        </w:numPr>
        <w:pStyle w:val="Compact"/>
      </w:pPr>
      <w:r>
        <w:rPr>
          <w:iCs/>
          <w:i/>
        </w:rPr>
        <w:t xml:space="preserve">Hyper-Targeted Digital Campaigns:</w:t>
      </w:r>
      <w:r>
        <w:t xml:space="preserve"> </w:t>
      </w:r>
      <w:r>
        <w:t xml:space="preserve">LinkedIn ads targeting architects at firms like Gensler and Skidmore Owings &amp; Merrill in NYC, with content showcasing our record-breaking 18-month permit approval for the Brooklyn Heights Adaptive Reuse Project.</w:t>
      </w:r>
    </w:p>
    <w:p>
      <w:pPr>
        <w:numPr>
          <w:ilvl w:val="0"/>
          <w:numId w:val="1004"/>
        </w:numPr>
        <w:pStyle w:val="Compact"/>
      </w:pPr>
      <w:r>
        <w:rPr>
          <w:iCs/>
          <w:i/>
        </w:rPr>
        <w:t xml:space="preserve">Community Integration:</w:t>
      </w:r>
      <w:r>
        <w:t xml:space="preserve"> </w:t>
      </w:r>
      <w:r>
        <w:t xml:space="preserve">Sponsoring the annual "NYC Urban Design Awards" and mentoring at NYU Tandon School of Engineering's architecture program—embedding our brand in NYC's creative ecosystem.</w:t>
      </w:r>
    </w:p>
    <w:bookmarkEnd w:id="24"/>
    <w:bookmarkStart w:id="25" w:name="budget-allocation-timeline"/>
    <w:p>
      <w:pPr>
        <w:pStyle w:val="Heading2"/>
      </w:pPr>
      <w:r>
        <w:t xml:space="preserve">Budget Allocation &amp; Timeline</w:t>
      </w:r>
    </w:p>
    <w:p>
      <w:pPr>
        <w:pStyle w:val="FirstParagraph"/>
      </w:pPr>
      <w:r>
        <w:t xml:space="preserve">Year 1 Budget: $450,000 (allocated as follows):</w:t>
      </w:r>
    </w:p>
    <w:p>
      <w:pPr>
        <w:numPr>
          <w:ilvl w:val="0"/>
          <w:numId w:val="1005"/>
        </w:numPr>
        <w:pStyle w:val="Compact"/>
      </w:pPr>
      <w:r>
        <w:t xml:space="preserve">Content Marketing (NYC-focused): $120K</w:t>
      </w:r>
    </w:p>
    <w:p>
      <w:pPr>
        <w:numPr>
          <w:ilvl w:val="0"/>
          <w:numId w:val="1005"/>
        </w:numPr>
        <w:pStyle w:val="Compact"/>
      </w:pPr>
      <w:r>
        <w:t xml:space="preserve">Strategic Partnerships/Events: $150K</w:t>
      </w:r>
    </w:p>
    <w:p>
      <w:pPr>
        <w:numPr>
          <w:ilvl w:val="0"/>
          <w:numId w:val="1005"/>
        </w:numPr>
        <w:pStyle w:val="Compact"/>
      </w:pPr>
      <w:r>
        <w:t xml:space="preserve">Digital Advertising (Targeted NYC): $130K</w:t>
      </w:r>
    </w:p>
    <w:p>
      <w:pPr>
        <w:numPr>
          <w:ilvl w:val="0"/>
          <w:numId w:val="1005"/>
        </w:numPr>
        <w:pStyle w:val="Compact"/>
      </w:pPr>
      <w:r>
        <w:t xml:space="preserve">Brand Development (Tribeca Studio Experience): $50K</w:t>
      </w:r>
    </w:p>
    <w:p>
      <w:pPr>
        <w:pStyle w:val="FirstParagraph"/>
      </w:pPr>
      <w:r>
        <w:rPr>
          <w:bCs/>
          <w:b/>
        </w:rPr>
        <w:t xml:space="preserve">Timeline:</w:t>
      </w:r>
    </w:p>
    <w:p>
      <w:pPr>
        <w:numPr>
          <w:ilvl w:val="0"/>
          <w:numId w:val="1006"/>
        </w:numPr>
        <w:pStyle w:val="Compact"/>
      </w:pPr>
      <w:r>
        <w:rPr>
          <w:bCs/>
          <w:b/>
        </w:rPr>
        <w:t xml:space="preserve">Months 1-3:</w:t>
      </w:r>
      <w:r>
        <w:t xml:space="preserve"> </w:t>
      </w:r>
      <w:r>
        <w:t xml:space="preserve">Launch NYC-specific content hub; secure 3 institutional partnerships.</w:t>
      </w:r>
    </w:p>
    <w:p>
      <w:pPr>
        <w:numPr>
          <w:ilvl w:val="0"/>
          <w:numId w:val="1006"/>
        </w:numPr>
        <w:pStyle w:val="Compact"/>
      </w:pPr>
      <w:r>
        <w:rPr>
          <w:bCs/>
          <w:b/>
        </w:rPr>
        <w:t xml:space="preserve">Months 4-8:</w:t>
      </w:r>
      <w:r>
        <w:t xml:space="preserve"> </w:t>
      </w:r>
      <w:r>
        <w:t xml:space="preserve">Execute Tribeca Studio open houses for NYC developers; debut AI zoning tool.</w:t>
      </w:r>
    </w:p>
    <w:p>
      <w:pPr>
        <w:numPr>
          <w:ilvl w:val="0"/>
          <w:numId w:val="1006"/>
        </w:numPr>
        <w:pStyle w:val="Compact"/>
      </w:pPr>
      <w:r>
        <w:rPr>
          <w:bCs/>
          <w:b/>
        </w:rPr>
        <w:t xml:space="preserve">Months 9-12:</w:t>
      </w:r>
      <w:r>
        <w:t xml:space="preserve"> </w:t>
      </w:r>
      <w:r>
        <w:t xml:space="preserve">Achieve 25% market penetration in luxury residential segment; publish first Urban Design Brief series.</w:t>
      </w:r>
    </w:p>
    <w:bookmarkEnd w:id="25"/>
    <w:bookmarkStart w:id="26" w:name="evaluation-metrics"/>
    <w:p>
      <w:pPr>
        <w:pStyle w:val="Heading2"/>
      </w:pPr>
      <w:r>
        <w:t xml:space="preserve">Evaluation Metrics</w:t>
      </w:r>
    </w:p>
    <w:p>
      <w:pPr>
        <w:pStyle w:val="FirstParagraph"/>
      </w:pPr>
      <w:r>
        <w:t xml:space="preserve">We track success through NYC-specific KPIs:</w:t>
      </w:r>
    </w:p>
    <w:p>
      <w:pPr>
        <w:numPr>
          <w:ilvl w:val="0"/>
          <w:numId w:val="1007"/>
        </w:numPr>
        <w:pStyle w:val="Compact"/>
      </w:pPr>
      <w:r>
        <w:rPr>
          <w:bCs/>
          <w:b/>
        </w:rPr>
        <w:t xml:space="preserve">Permitting Efficiency:</w:t>
      </w:r>
      <w:r>
        <w:t xml:space="preserve"> </w:t>
      </w:r>
      <w:r>
        <w:t xml:space="preserve">% reduction in client project approval timelines (target: 35% faster than NYC industry average).</w:t>
      </w:r>
    </w:p>
    <w:p>
      <w:pPr>
        <w:numPr>
          <w:ilvl w:val="0"/>
          <w:numId w:val="1007"/>
        </w:numPr>
        <w:pStyle w:val="Compact"/>
      </w:pPr>
      <w:r>
        <w:rPr>
          <w:bCs/>
          <w:b/>
        </w:rPr>
        <w:t xml:space="preserve">NYC Client Acquisition Cost (CAC):</w:t>
      </w:r>
      <w:r>
        <w:t xml:space="preserve"> </w:t>
      </w:r>
      <w:r>
        <w:t xml:space="preserve">Target &lt;$28,000 per new client (vs. national avg. $38,500).</w:t>
      </w:r>
    </w:p>
    <w:p>
      <w:pPr>
        <w:numPr>
          <w:ilvl w:val="0"/>
          <w:numId w:val="1007"/>
        </w:numPr>
        <w:pStyle w:val="Compact"/>
      </w:pPr>
      <w:r>
        <w:rPr>
          <w:bCs/>
          <w:b/>
        </w:rPr>
        <w:t xml:space="preserve">Brand Sentiment:</w:t>
      </w:r>
      <w:r>
        <w:t xml:space="preserve"> </w:t>
      </w:r>
      <w:r>
        <w:t xml:space="preserve">Social media mentions from NYC architecture influencers (target: 15% growth MoM).</w:t>
      </w:r>
    </w:p>
    <w:p>
      <w:pPr>
        <w:numPr>
          <w:ilvl w:val="0"/>
          <w:numId w:val="1007"/>
        </w:numPr>
        <w:pStyle w:val="Compact"/>
      </w:pPr>
      <w:r>
        <w:rPr>
          <w:bCs/>
          <w:b/>
        </w:rPr>
        <w:t xml:space="preserve">Institutional Pipeline:</w:t>
      </w:r>
      <w:r>
        <w:t xml:space="preserve"> </w:t>
      </w:r>
      <w:r>
        <w:t xml:space="preserve">Number of RFPs received from NYC government agencies (target: 8+ by Year 2).</w:t>
      </w:r>
    </w:p>
    <w:bookmarkEnd w:id="26"/>
    <w:bookmarkStart w:id="27" w:name="conclusion-architecting-new-yorks-future"/>
    <w:p>
      <w:pPr>
        <w:pStyle w:val="Heading2"/>
      </w:pPr>
      <w:r>
        <w:t xml:space="preserve">Conclusion: Architecting New York's Future</w:t>
      </w:r>
    </w:p>
    <w:p>
      <w:pPr>
        <w:pStyle w:val="FirstParagraph"/>
      </w:pPr>
      <w:r>
        <w:t xml:space="preserve">This Marketing Plan positions our Architect practice not merely as a service provider, but as an indispensable architect of New York City's built environment. By embedding ourselves in NYC's regulatory, cultural, and design fabric—from navigating the Upper West Side Historic District to pioneering climate-resilient waterfront developments—we transform how architecture is perceived in the United States' most demanding urban market. Every strategy leverages our unique advantage: an Architect who doesn't just work in New York City, but understands its soul. As NYC continues to evolve as a global epicenter of innovation, this plan ensures our firm remains at the forefront of shaping its physical and cultural identity for decades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Architect Services in United States New York City</dc:title>
  <dc:creator/>
  <dc:language>en</dc:language>
  <cp:keywords/>
  <dcterms:created xsi:type="dcterms:W3CDTF">2026-07-24T16:55:30Z</dcterms:created>
  <dcterms:modified xsi:type="dcterms:W3CDTF">2026-07-24T16:55:30Z</dcterms:modified>
</cp:coreProperties>
</file>

<file path=docProps/custom.xml><?xml version="1.0" encoding="utf-8"?>
<Properties xmlns="http://schemas.openxmlformats.org/officeDocument/2006/custom-properties" xmlns:vt="http://schemas.openxmlformats.org/officeDocument/2006/docPropsVTypes"/>
</file>