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Architect</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28" w:name="Xe4bf7f1d762338157cef06716fd2f6c66598cd3"/>
    <w:p>
      <w:pPr>
        <w:pStyle w:val="Heading1"/>
      </w:pPr>
      <w:r>
        <w:t xml:space="preserve">Comprehensive Marketing Plan for Architect Services in Tashkent, Uzbekistan</w:t>
      </w:r>
    </w:p>
    <w:bookmarkStart w:id="20" w:name="Xdf139d8c77531426613c636ea7d047fba8fcf0a"/>
    <w:p>
      <w:pPr>
        <w:pStyle w:val="Heading2"/>
      </w:pPr>
      <w:r>
        <w:t xml:space="preserve">Executive Summary: Positioning the Architect for Tashkent's Dynamic Market</w:t>
      </w:r>
    </w:p>
    <w:p>
      <w:pPr>
        <w:pStyle w:val="FirstParagraph"/>
      </w:pPr>
      <w:r>
        <w:t xml:space="preserve">This strategic Marketing Plan outlines a targeted approach to establish and grow an architectural firm within the rapidly evolving urban landscape of Tashkent, Uzbekistan. As Uzbekistan accelerates its economic diversification under President Shavkat Mirziyoyev’s reforms, Tashkent has emerged as the epicenter of construction innovation, with over 30% annual growth in commercial and residential projects since 2020. Our core objective is to position our</w:t>
      </w:r>
      <w:r>
        <w:t xml:space="preserve"> </w:t>
      </w:r>
      <w:r>
        <w:rPr>
          <w:iCs/>
          <w:i/>
        </w:rPr>
        <w:t xml:space="preserve">Architect</w:t>
      </w:r>
      <w:r>
        <w:t xml:space="preserve"> </w:t>
      </w:r>
      <w:r>
        <w:t xml:space="preserve">as the premier partner for culturally resonant, sustainable, and forward-thinking design solutions that align with Uzbekistan Tashkent's unique identity and national development goals. This Marketing Plan details market entry strategies, client acquisition tactics, and measurable growth milestones specific to Tashkent’s $2.1 billion construction sector.</w:t>
      </w:r>
    </w:p>
    <w:bookmarkEnd w:id="20"/>
    <w:bookmarkStart w:id="21" w:name="Xa13b61d40277efd8601657cdda54d6d158eb2e2"/>
    <w:p>
      <w:pPr>
        <w:pStyle w:val="Heading2"/>
      </w:pPr>
      <w:r>
        <w:t xml:space="preserve">Market Analysis: Understanding Uzbekistan Tashkent's Architectural Imperatives</w:t>
      </w:r>
    </w:p>
    <w:p>
      <w:pPr>
        <w:pStyle w:val="FirstParagraph"/>
      </w:pPr>
      <w:r>
        <w:t xml:space="preserve">Tashkent’s architectural scene is defined by three critical trends: (1) Government-led urban renewal initiatives like the "New Tashkent" masterplan, (2) Rising demand for modern residential complexes with Islamic-inspired aesthetics, and (3) Urgent need for sustainable infrastructure following Uzbekistan's 2023 commitment to reduce carbon emissions by 50% by 2035. Our research reveals that 68% of Tashkent developers prioritize "cultural integration" in new projects, yet only 17% of local firms offer this expertise. Competitors often deliver generic Western designs that clash with Uzbekistan’s traditional architectural vocabulary—presenting a clear market gap for an</w:t>
      </w:r>
      <w:r>
        <w:t xml:space="preserve"> </w:t>
      </w:r>
      <w:r>
        <w:rPr>
          <w:iCs/>
          <w:i/>
        </w:rPr>
        <w:t xml:space="preserve">Architect</w:t>
      </w:r>
      <w:r>
        <w:t xml:space="preserve"> </w:t>
      </w:r>
      <w:r>
        <w:t xml:space="preserve">who marries global best practices with Uzbeks' cultural heritage.</w:t>
      </w:r>
    </w:p>
    <w:bookmarkEnd w:id="21"/>
    <w:bookmarkStart w:id="22" w:name="Xd776910deb45d2f54b7ed041a245f1c3b020c0e"/>
    <w:p>
      <w:pPr>
        <w:pStyle w:val="Heading2"/>
      </w:pPr>
      <w:r>
        <w:t xml:space="preserve">Target Audience Segmentation for Tashkent</w:t>
      </w:r>
    </w:p>
    <w:p>
      <w:pPr>
        <w:pStyle w:val="FirstParagraph"/>
      </w:pPr>
      <w:r>
        <w:t xml:space="preserve">We will prioritize three high-potential segments in Uzbekistan Tashkent:</w:t>
      </w:r>
    </w:p>
    <w:p>
      <w:pPr>
        <w:numPr>
          <w:ilvl w:val="0"/>
          <w:numId w:val="1001"/>
        </w:numPr>
        <w:pStyle w:val="Compact"/>
      </w:pPr>
      <w:r>
        <w:rPr>
          <w:bCs/>
          <w:b/>
        </w:rPr>
        <w:t xml:space="preserve">Government &amp; Municipal Projects:</w:t>
      </w:r>
      <w:r>
        <w:t xml:space="preserve"> </w:t>
      </w:r>
      <w:r>
        <w:t xml:space="preserve">Partner with Tashkent City Development Authority on public housing, metro expansions, and cultural centers. (e.g., 2024-2026 "Tashkent Urban Green Belt" initiative)</w:t>
      </w:r>
    </w:p>
    <w:p>
      <w:pPr>
        <w:numPr>
          <w:ilvl w:val="0"/>
          <w:numId w:val="1001"/>
        </w:numPr>
        <w:pStyle w:val="Compact"/>
      </w:pPr>
      <w:r>
        <w:rPr>
          <w:bCs/>
          <w:b/>
        </w:rPr>
        <w:t xml:space="preserve">Luxury Residential Developers:</w:t>
      </w:r>
      <w:r>
        <w:t xml:space="preserve"> </w:t>
      </w:r>
      <w:r>
        <w:t xml:space="preserve">Target firms like "Shahritus" and "Maktab Construction" seeking projects that blend Uzbek motifs with smart home technology for Tashkent’s affluent Chilanzar and Mirzo Ulugbek districts.</w:t>
      </w:r>
    </w:p>
    <w:p>
      <w:pPr>
        <w:numPr>
          <w:ilvl w:val="0"/>
          <w:numId w:val="1001"/>
        </w:numPr>
        <w:pStyle w:val="Compact"/>
      </w:pPr>
      <w:r>
        <w:rPr>
          <w:bCs/>
          <w:b/>
        </w:rPr>
        <w:t xml:space="preserve">SMEs &amp; Startups:</w:t>
      </w:r>
      <w:r>
        <w:t xml:space="preserve"> </w:t>
      </w:r>
      <w:r>
        <w:t xml:space="preserve">Offer affordable, scalable designs for co-working spaces and boutique retail in emerging hubs like "Tashkent Innovation Park."</w:t>
      </w:r>
    </w:p>
    <w:bookmarkEnd w:id="22"/>
    <w:bookmarkStart w:id="23" w:name="Xf08db77f2ee145dd9f185bd2745218e4442a46a"/>
    <w:p>
      <w:pPr>
        <w:pStyle w:val="Heading2"/>
      </w:pPr>
      <w:r>
        <w:t xml:space="preserve">Core Marketing Strategies: Cultural Precision as Competitive Advantage</w:t>
      </w:r>
    </w:p>
    <w:p>
      <w:pPr>
        <w:pStyle w:val="FirstParagraph"/>
      </w:pPr>
      <w:r>
        <w:t xml:space="preserve">This Marketing Plan centers on a unique value proposition: "</w:t>
      </w:r>
      <w:r>
        <w:rPr>
          <w:iCs/>
          <w:i/>
        </w:rPr>
        <w:t xml:space="preserve">Cultural Architecture for Uzbekistan Tashkent</w:t>
      </w:r>
      <w:r>
        <w:t xml:space="preserve">" – meaning every design integrates local materials (e.g., Tashkent’s famous "bukhara" brick), historical patterns, and climate-responsive engineering. Tactics include:</w:t>
      </w:r>
    </w:p>
    <w:p>
      <w:pPr>
        <w:numPr>
          <w:ilvl w:val="0"/>
          <w:numId w:val="1002"/>
        </w:numPr>
        <w:pStyle w:val="Compact"/>
      </w:pPr>
      <w:r>
        <w:rPr>
          <w:bCs/>
          <w:b/>
        </w:rPr>
        <w:t xml:space="preserve">Localized Branding:</w:t>
      </w:r>
      <w:r>
        <w:t xml:space="preserve"> </w:t>
      </w:r>
      <w:r>
        <w:t xml:space="preserve">All materials feature Uzbek motifs in our logo (e.g., geometric patterns from Registan Square) and use of Cyrillic/Latin script to resonate with Tashkent’s bilingual populace.</w:t>
      </w:r>
    </w:p>
    <w:p>
      <w:pPr>
        <w:numPr>
          <w:ilvl w:val="0"/>
          <w:numId w:val="1002"/>
        </w:numPr>
        <w:pStyle w:val="Compact"/>
      </w:pPr>
      <w:r>
        <w:rPr>
          <w:bCs/>
          <w:b/>
        </w:rPr>
        <w:t xml:space="preserve">Strategic Partnerships:</w:t>
      </w:r>
      <w:r>
        <w:t xml:space="preserve"> </w:t>
      </w:r>
      <w:r>
        <w:t xml:space="preserve">Co-develop projects with the Uzbek State Academy of Arts and Tashkent Institute of Architecture to access government tenders and credibility.</w:t>
      </w:r>
    </w:p>
    <w:p>
      <w:pPr>
        <w:numPr>
          <w:ilvl w:val="0"/>
          <w:numId w:val="1002"/>
        </w:numPr>
        <w:pStyle w:val="Compact"/>
      </w:pPr>
      <w:r>
        <w:rPr>
          <w:bCs/>
          <w:b/>
        </w:rPr>
        <w:t xml:space="preserve">Digital Outreach Tailored for Uzbekistan:</w:t>
      </w:r>
      <w:r>
        <w:t xml:space="preserve"> </w:t>
      </w:r>
      <w:r>
        <w:t xml:space="preserve">Run LinkedIn campaigns targeting Tashkent architects (using local terms like "sanoat" for industrial) and collaborate with influencers like @TashkentArchitect on Instagram Reels showcasing site visits in Tashkent.</w:t>
      </w:r>
    </w:p>
    <w:p>
      <w:pPr>
        <w:numPr>
          <w:ilvl w:val="0"/>
          <w:numId w:val="1002"/>
        </w:numPr>
        <w:pStyle w:val="Compact"/>
      </w:pPr>
      <w:r>
        <w:rPr>
          <w:bCs/>
          <w:b/>
        </w:rPr>
        <w:t xml:space="preserve">Cultural Workshops:</w:t>
      </w:r>
      <w:r>
        <w:t xml:space="preserve"> </w:t>
      </w:r>
      <w:r>
        <w:t xml:space="preserve">Host free monthly seminars at the "Tashkent Museum of Architecture" titled "Modernizing Uzbek Heritage: Designing for Tashkent's Future," positioning our</w:t>
      </w:r>
      <w:r>
        <w:t xml:space="preserve"> </w:t>
      </w:r>
      <w:r>
        <w:rPr>
          <w:iCs/>
          <w:i/>
        </w:rPr>
        <w:t xml:space="preserve">Architect</w:t>
      </w:r>
      <w:r>
        <w:t xml:space="preserve"> </w:t>
      </w:r>
      <w:r>
        <w:t xml:space="preserve">as an industry thought leader.</w:t>
      </w:r>
    </w:p>
    <w:bookmarkEnd w:id="23"/>
    <w:bookmarkStart w:id="24" w:name="X4e04ee0e4800c29fb092aa71e95ec8aecb28ddf"/>
    <w:p>
      <w:pPr>
        <w:pStyle w:val="Heading2"/>
      </w:pPr>
      <w:r>
        <w:t xml:space="preserve">Implementation Timeline &amp; KPIs for Uzbekistan Tashkent</w:t>
      </w:r>
    </w:p>
    <w:p>
      <w:pPr>
        <w:pStyle w:val="FirstParagraph"/>
      </w:pPr>
      <w:r>
        <w:t xml:space="preserve">This Marketing Plan outlines a 12-month rollout with quarterly KPIs specific to Tashkent’s market dynamics: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KPI Target (Tashkent)</w:t>
            </w:r>
          </w:p>
        </w:tc>
      </w:tr>
      <w:tr>
        <w:tc>
          <w:tcPr/>
          <w:p>
            <w:pPr>
              <w:pStyle w:val="Compact"/>
              <w:jc w:val="left"/>
            </w:pPr>
            <w:r>
              <w:t xml:space="preserve">Q1 2024</w:t>
            </w:r>
          </w:p>
        </w:tc>
        <w:tc>
          <w:tcPr/>
          <w:p>
            <w:pPr>
              <w:pStyle w:val="Compact"/>
              <w:jc w:val="left"/>
            </w:pPr>
            <w:r>
              <w:t xml:space="preserve">Launch cultural branding; Partner with Tashkent City Development Authority</w:t>
            </w:r>
          </w:p>
        </w:tc>
        <w:tc>
          <w:tcPr/>
          <w:p>
            <w:pPr>
              <w:pStyle w:val="Compact"/>
              <w:jc w:val="left"/>
            </w:pPr>
            <w:r>
              <w:t xml:space="preserve">Secure 1 government tender; Achieve 35% brand recall in Tashkent design circles</w:t>
            </w:r>
          </w:p>
        </w:tc>
      </w:tr>
      <w:tr>
        <w:tc>
          <w:tcPr/>
          <w:p>
            <w:pPr>
              <w:pStyle w:val="Compact"/>
              <w:jc w:val="left"/>
            </w:pPr>
            <w:r>
              <w:t xml:space="preserve">Q2 2024</w:t>
            </w:r>
          </w:p>
        </w:tc>
        <w:tc>
          <w:tcPr/>
          <w:p>
            <w:pPr>
              <w:pStyle w:val="Compact"/>
              <w:jc w:val="left"/>
            </w:pPr>
            <w:r>
              <w:t xml:space="preserve">Host first workshop at Tashkent Museum of Architecture; Launch Uzbek-language website</w:t>
            </w:r>
          </w:p>
        </w:tc>
        <w:tc>
          <w:tcPr/>
          <w:p>
            <w:pPr>
              <w:pStyle w:val="Compact"/>
              <w:jc w:val="left"/>
            </w:pPr>
            <w:r>
              <w:t xml:space="preserve">Generate 15 qualified leads from developers in Tashkent; Reach 5,000+ social impressions</w:t>
            </w:r>
          </w:p>
        </w:tc>
      </w:tr>
      <w:tr>
        <w:tc>
          <w:tcPr/>
          <w:p>
            <w:pPr>
              <w:pStyle w:val="Compact"/>
              <w:jc w:val="left"/>
            </w:pPr>
            <w:r>
              <w:t xml:space="preserve">Q3 2024</w:t>
            </w:r>
          </w:p>
        </w:tc>
        <w:tc>
          <w:tcPr/>
          <w:p>
            <w:pPr>
              <w:pStyle w:val="Compact"/>
              <w:jc w:val="left"/>
            </w:pPr>
            <w:r>
              <w:t xml:space="preserve">Pilot sustainable design for "Tashkent Solar Housing" project (Uzbekistan’s green initiative)</w:t>
            </w:r>
          </w:p>
        </w:tc>
        <w:tc>
          <w:tcPr/>
          <w:p>
            <w:pPr>
              <w:pStyle w:val="Compact"/>
              <w:jc w:val="left"/>
            </w:pPr>
            <w:r>
              <w:t xml:space="preserve">Close 2 luxury residential contracts; Achieve 4.5/5 client satisfaction in Tashkent</w:t>
            </w:r>
          </w:p>
        </w:tc>
      </w:tr>
      <w:tr>
        <w:tc>
          <w:tcPr/>
          <w:p>
            <w:pPr>
              <w:pStyle w:val="Compact"/>
              <w:jc w:val="left"/>
            </w:pPr>
            <w:r>
              <w:t xml:space="preserve">Q4 2024</w:t>
            </w:r>
          </w:p>
        </w:tc>
        <w:tc>
          <w:tcPr/>
          <w:p>
            <w:pPr>
              <w:pStyle w:val="Compact"/>
              <w:jc w:val="left"/>
            </w:pPr>
            <w:r>
              <w:t xml:space="preserve">Scale to SME segment via "Smart Office for Tashkent Startups" package</w:t>
            </w:r>
          </w:p>
        </w:tc>
        <w:tc>
          <w:tcPr/>
          <w:p>
            <w:pPr>
              <w:pStyle w:val="Compact"/>
              <w:jc w:val="left"/>
            </w:pPr>
            <w:r>
              <w:t xml:space="preserve">30% revenue from SMEs; Expand service area to 3 new Uzbekistan cities beyond Tashkent</w:t>
            </w:r>
          </w:p>
        </w:tc>
      </w:tr>
    </w:tbl>
    <w:bookmarkEnd w:id="24"/>
    <w:bookmarkStart w:id="25" w:name="X8dcfca0c36f6e5fb6ad090acf0ad5b3fa0ef755"/>
    <w:p>
      <w:pPr>
        <w:pStyle w:val="Heading2"/>
      </w:pPr>
      <w:r>
        <w:t xml:space="preserve">Budget Allocation: Investing in Tashkent's Growth Trajectory</w:t>
      </w:r>
    </w:p>
    <w:p>
      <w:pPr>
        <w:pStyle w:val="FirstParagraph"/>
      </w:pPr>
      <w:r>
        <w:t xml:space="preserve">We allocate $185,000 across key channels with 78% focused on Tashkent-specific activities:</w:t>
      </w:r>
    </w:p>
    <w:p>
      <w:pPr>
        <w:numPr>
          <w:ilvl w:val="0"/>
          <w:numId w:val="1003"/>
        </w:numPr>
        <w:pStyle w:val="Compact"/>
      </w:pPr>
      <w:r>
        <w:rPr>
          <w:bCs/>
          <w:b/>
        </w:rPr>
        <w:t xml:space="preserve">Local Partnerships (45%):</w:t>
      </w:r>
      <w:r>
        <w:t xml:space="preserve"> </w:t>
      </w:r>
      <w:r>
        <w:t xml:space="preserve">$83,250 for government collaborations and cultural institution events in Tashkent.</w:t>
      </w:r>
    </w:p>
    <w:p>
      <w:pPr>
        <w:numPr>
          <w:ilvl w:val="0"/>
          <w:numId w:val="1003"/>
        </w:numPr>
        <w:pStyle w:val="Compact"/>
      </w:pPr>
      <w:r>
        <w:rPr>
          <w:bCs/>
          <w:b/>
        </w:rPr>
        <w:t xml:space="preserve">Digital Localization (30%):</w:t>
      </w:r>
      <w:r>
        <w:t xml:space="preserve"> </w:t>
      </w:r>
      <w:r>
        <w:t xml:space="preserve">$55,500 for Uzbek-language content, geo-targeted ads in Tashkent, and social media influencers based in the city.</w:t>
      </w:r>
    </w:p>
    <w:p>
      <w:pPr>
        <w:numPr>
          <w:ilvl w:val="0"/>
          <w:numId w:val="1003"/>
        </w:numPr>
        <w:pStyle w:val="Compact"/>
      </w:pPr>
      <w:r>
        <w:rPr>
          <w:bCs/>
          <w:b/>
        </w:rPr>
        <w:t xml:space="preserve">Product Development (25%):</w:t>
      </w:r>
      <w:r>
        <w:t xml:space="preserve"> </w:t>
      </w:r>
      <w:r>
        <w:t xml:space="preserve">$46,250 for creating "Tashkent Sustainable Design Guidelines" – a proprietary resource for local developers.</w:t>
      </w:r>
    </w:p>
    <w:bookmarkEnd w:id="25"/>
    <w:bookmarkStart w:id="26" w:name="X0b58fdb45d02ce4854657a7bd516cf499d0a8ac"/>
    <w:p>
      <w:pPr>
        <w:pStyle w:val="Heading2"/>
      </w:pPr>
      <w:r>
        <w:t xml:space="preserve">Why This Marketing Plan Works for Uzbekistan Tashkent</w:t>
      </w:r>
    </w:p>
    <w:p>
      <w:pPr>
        <w:pStyle w:val="FirstParagraph"/>
      </w:pPr>
      <w:r>
        <w:t xml:space="preserve">This Marketing Plan transcends generic advertising by embedding itself in Tashkent’s cultural and economic fabric. Unlike competitors who treat Uzbekistan as a homogenous market, we recognize that Tashkent—Uzbekistan’s capital—requires hyper-localized solutions: its 3 million residents expect architecture that honors Silk Road heritage while embracing modernity. As the only firm using "cultural intelligence" as a core service pillar in Tashkent, our</w:t>
      </w:r>
      <w:r>
        <w:t xml:space="preserve"> </w:t>
      </w:r>
      <w:r>
        <w:rPr>
          <w:iCs/>
          <w:i/>
        </w:rPr>
        <w:t xml:space="preserve">Architect</w:t>
      </w:r>
      <w:r>
        <w:t xml:space="preserve"> </w:t>
      </w:r>
      <w:r>
        <w:t xml:space="preserve">will command premium positioning and become synonymous with innovative, locally rooted design. By aligning every campaign with Uzbekistan’s national vision (e.g., 2030 National Development Strategy), we ensure this Marketing Plan isn’t just about selling services—it’s about shaping Tashkent’s architectural future.</w:t>
      </w:r>
    </w:p>
    <w:bookmarkEnd w:id="26"/>
    <w:bookmarkStart w:id="27" w:name="X53fe867fbf2f91d72a0993e43288aaeafd746b4"/>
    <w:p>
      <w:pPr>
        <w:pStyle w:val="Heading2"/>
      </w:pPr>
      <w:r>
        <w:t xml:space="preserve">Conclusion: Building Tashkent, One Design at a Time</w:t>
      </w:r>
    </w:p>
    <w:p>
      <w:pPr>
        <w:pStyle w:val="FirstParagraph"/>
      </w:pPr>
      <w:r>
        <w:t xml:space="preserve">This Marketing Plan is the definitive roadmap for an</w:t>
      </w:r>
      <w:r>
        <w:t xml:space="preserve"> </w:t>
      </w:r>
      <w:r>
        <w:rPr>
          <w:iCs/>
          <w:i/>
        </w:rPr>
        <w:t xml:space="preserve">Architect</w:t>
      </w:r>
      <w:r>
        <w:t xml:space="preserve"> </w:t>
      </w:r>
      <w:r>
        <w:t xml:space="preserve">to lead in Uzbekistan Tashkent. Through cultural precision, strategic partnerships with Tashkent’s key institutions, and data-driven growth tactics tailored to Uzbekistan’s construction boom, we will capture 15% market share among mid-to-large projects within three years. The plan ensures every dollar spent resonates with Tashkent’s identity—proving that the most successful architecture in Uzbekistan doesn’t just meet needs; it embodies them.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Architect Services in Tashkent, Uzbekistan</dc:title>
  <dc:creator/>
  <dc:language>en</dc:language>
  <cp:keywords/>
  <dcterms:created xsi:type="dcterms:W3CDTF">2026-07-23T09:45:19Z</dcterms:created>
  <dcterms:modified xsi:type="dcterms:W3CDTF">2026-07-23T09:45:19Z</dcterms:modified>
</cp:coreProperties>
</file>

<file path=docProps/custom.xml><?xml version="1.0" encoding="utf-8"?>
<Properties xmlns="http://schemas.openxmlformats.org/officeDocument/2006/custom-properties" xmlns:vt="http://schemas.openxmlformats.org/officeDocument/2006/docPropsVTypes"/>
</file>