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2" w:name="X1c6e3524345e77063cd72b28ac4468eca5b2bd5"/>
    <w:p>
      <w:pPr>
        <w:pStyle w:val="Heading1"/>
      </w:pPr>
      <w:r>
        <w:t xml:space="preserve">Comprehensive Marketing Plan: Astronomer Launch Strategy in China Beijing</w:t>
      </w:r>
    </w:p>
    <w:bookmarkStart w:id="20" w:name="executive-summary"/>
    <w:p>
      <w:pPr>
        <w:pStyle w:val="Heading2"/>
      </w:pPr>
      <w:r>
        <w:t xml:space="preserve">Executive Summary</w:t>
      </w:r>
    </w:p>
    <w:p>
      <w:pPr>
        <w:pStyle w:val="FirstParagraph"/>
      </w:pPr>
      <w:r>
        <w:t xml:space="preserve">This Marketing Plan outlines a targeted strategy to establish Astronomer as the premier data orchestration platform in China's Beijing market. With Beijing serving as China's technological innovation hub and home to over 20 million tech professionals, Astronomer aims to capture significant market share by addressing critical data management challenges faced by enterprises. This plan details a 12-month go-to-market approach tailored for the unique regulatory, cultural, and competitive landscape of China Beijing. We project a 35% market penetration among target enterprises within 18 months through localized engagement and strategic partnerships.</w:t>
      </w:r>
    </w:p>
    <w:bookmarkEnd w:id="20"/>
    <w:bookmarkStart w:id="21" w:name="market-analysis-china-beijing-context"/>
    <w:p>
      <w:pPr>
        <w:pStyle w:val="Heading2"/>
      </w:pPr>
      <w:r>
        <w:t xml:space="preserve">Market Analysis: China Beijing Context</w:t>
      </w:r>
    </w:p>
    <w:p>
      <w:pPr>
        <w:pStyle w:val="FirstParagraph"/>
      </w:pPr>
      <w:r>
        <w:t xml:space="preserve">The Beijing data engineering ecosystem presents unprecedented opportunities. As the headquarters for 70% of China's top tech firms (including Baidu, ByteDance, and Alibaba Cloud), Beijing demands cutting-edge data solutions that comply with stringent local regulations like PIPL (Personal Information Protection Law). Current market gaps include: 1) Over-reliance on legacy tools like Airflow with poor Chinese-language support, 2) Limited platform integration with domestic cloud services (e.g., Alibaba Cloud, Tencent Cloud), and 3) Cultural disconnect in technical documentation. Astronomer's open-source foundation and cloud-native architecture position it uniquely to solve these challenges for China Beijing enterprises seeking scalable data workflows.</w:t>
      </w:r>
    </w:p>
    <w:bookmarkEnd w:id="21"/>
    <w:bookmarkStart w:id="22" w:name="target-audience-in-beijing"/>
    <w:p>
      <w:pPr>
        <w:pStyle w:val="Heading2"/>
      </w:pPr>
      <w:r>
        <w:t xml:space="preserve">Target Audience in Beijing</w:t>
      </w:r>
    </w:p>
    <w:p>
      <w:pPr>
        <w:pStyle w:val="FirstParagraph"/>
      </w:pPr>
      <w:r>
        <w:t xml:space="preserve">Our primary focus targets:</w:t>
      </w:r>
    </w:p>
    <w:p>
      <w:pPr>
        <w:numPr>
          <w:ilvl w:val="0"/>
          <w:numId w:val="1001"/>
        </w:numPr>
        <w:pStyle w:val="Compact"/>
      </w:pPr>
      <w:r>
        <w:rPr>
          <w:bCs/>
          <w:b/>
        </w:rPr>
        <w:t xml:space="preserve">Tech Leads &amp; Data Engineers</w:t>
      </w:r>
      <w:r>
        <w:t xml:space="preserve"> </w:t>
      </w:r>
      <w:r>
        <w:t xml:space="preserve">at Fortune 500 Chinese enterprises (e.g., financial institutions, e-commerce giants)</w:t>
      </w:r>
    </w:p>
    <w:p>
      <w:pPr>
        <w:numPr>
          <w:ilvl w:val="0"/>
          <w:numId w:val="1001"/>
        </w:numPr>
        <w:pStyle w:val="Compact"/>
      </w:pPr>
      <w:r>
        <w:rPr>
          <w:bCs/>
          <w:b/>
        </w:rPr>
        <w:t xml:space="preserve">CIOs at government-affiliated tech initiatives</w:t>
      </w:r>
      <w:r>
        <w:t xml:space="preserve"> </w:t>
      </w:r>
      <w:r>
        <w:t xml:space="preserve">in Zhongguancun Science Park, Beijing's Silicon Valley equivalent</w:t>
      </w:r>
    </w:p>
    <w:p>
      <w:pPr>
        <w:numPr>
          <w:ilvl w:val="0"/>
          <w:numId w:val="1001"/>
        </w:numPr>
        <w:pStyle w:val="Compact"/>
      </w:pPr>
      <w:r>
        <w:rPr>
          <w:bCs/>
          <w:b/>
        </w:rPr>
        <w:t xml:space="preserve">Startups within Beijing's thriving innovation ecosystem</w:t>
      </w:r>
      <w:r>
        <w:t xml:space="preserve"> </w:t>
      </w:r>
      <w:r>
        <w:t xml:space="preserve">seeking cost-effective data orchestration solutions</w:t>
      </w:r>
    </w:p>
    <w:p>
      <w:pPr>
        <w:pStyle w:val="FirstParagraph"/>
      </w:pPr>
      <w:r>
        <w:t xml:space="preserve">This audience prioritizes regulatory compliance, language accessibility, and seamless integration with China's domestic tech stack – areas where Astronomer will differentiate through localized features like built-in PIPL-compliant data handling and WeChat-integrated analytics dashboards.</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2"/>
        </w:numPr>
        <w:pStyle w:val="Compact"/>
      </w:pPr>
      <w:r>
        <w:rPr>
          <w:bCs/>
          <w:b/>
        </w:rPr>
        <w:t xml:space="preserve">Brand Recognition:</w:t>
      </w:r>
      <w:r>
        <w:t xml:space="preserve"> </w:t>
      </w:r>
      <w:r>
        <w:t xml:space="preserve">75% awareness among target C-suite in Beijing's tech sector</w:t>
      </w:r>
    </w:p>
    <w:p>
      <w:pPr>
        <w:numPr>
          <w:ilvl w:val="0"/>
          <w:numId w:val="1002"/>
        </w:numPr>
        <w:pStyle w:val="Compact"/>
      </w:pPr>
      <w:r>
        <w:rPr>
          <w:bCs/>
          <w:b/>
        </w:rPr>
        <w:t xml:space="preserve">Metric Adoption:</w:t>
      </w:r>
      <w:r>
        <w:t xml:space="preserve"> </w:t>
      </w:r>
      <w:r>
        <w:t xml:space="preserve">Secure 15 enterprise pilots from major Beijing-based companies (including at least 3 Fortune Global 500 firms)</w:t>
      </w:r>
    </w:p>
    <w:p>
      <w:pPr>
        <w:numPr>
          <w:ilvl w:val="0"/>
          <w:numId w:val="1002"/>
        </w:numPr>
        <w:pStyle w:val="Compact"/>
      </w:pPr>
      <w:r>
        <w:rPr>
          <w:bCs/>
          <w:b/>
        </w:rPr>
        <w:t xml:space="preserve">Community Growth:</w:t>
      </w:r>
      <w:r>
        <w:t xml:space="preserve"> </w:t>
      </w:r>
      <w:r>
        <w:t xml:space="preserve">Build a 5,000-member local user group in Beijing with monthly meetups</w:t>
      </w:r>
    </w:p>
    <w:bookmarkEnd w:id="23"/>
    <w:bookmarkStart w:id="27" w:name="strategic-marketing-framework"/>
    <w:p>
      <w:pPr>
        <w:pStyle w:val="Heading2"/>
      </w:pPr>
      <w:r>
        <w:t xml:space="preserve">Strategic Marketing Framework</w:t>
      </w:r>
    </w:p>
    <w:bookmarkStart w:id="24" w:name="localization-for-china-beijing-market"/>
    <w:p>
      <w:pPr>
        <w:pStyle w:val="Heading3"/>
      </w:pPr>
      <w:r>
        <w:t xml:space="preserve">1. Localization for China Beijing Market</w:t>
      </w:r>
    </w:p>
    <w:p>
      <w:pPr>
        <w:pStyle w:val="FirstParagraph"/>
      </w:pPr>
      <w:r>
        <w:t xml:space="preserve">Astronomer will implement three critical localization pillars:</w:t>
      </w:r>
    </w:p>
    <w:p>
      <w:pPr>
        <w:numPr>
          <w:ilvl w:val="0"/>
          <w:numId w:val="1003"/>
        </w:numPr>
        <w:pStyle w:val="Compact"/>
      </w:pPr>
      <w:r>
        <w:rPr>
          <w:bCs/>
          <w:b/>
        </w:rPr>
        <w:t xml:space="preserve">Language &amp; Documentation:</w:t>
      </w:r>
      <w:r>
        <w:t xml:space="preserve"> </w:t>
      </w:r>
      <w:r>
        <w:t xml:space="preserve">Full Chinese interface with Mandarin technical documentation certified by Beijing-based linguists</w:t>
      </w:r>
    </w:p>
    <w:p>
      <w:pPr>
        <w:numPr>
          <w:ilvl w:val="0"/>
          <w:numId w:val="1003"/>
        </w:numPr>
        <w:pStyle w:val="Compact"/>
      </w:pPr>
      <w:r>
        <w:rPr>
          <w:bCs/>
          <w:b/>
        </w:rPr>
        <w:t xml:space="preserve">Regulatory Integration:</w:t>
      </w:r>
      <w:r>
        <w:t xml:space="preserve"> </w:t>
      </w:r>
      <w:r>
        <w:t xml:space="preserve">Pre-configured templates for PIPL compliance and data residency solutions within Astronomer's platform</w:t>
      </w:r>
    </w:p>
    <w:p>
      <w:pPr>
        <w:numPr>
          <w:ilvl w:val="0"/>
          <w:numId w:val="1003"/>
        </w:numPr>
        <w:pStyle w:val="Compact"/>
      </w:pPr>
      <w:r>
        <w:rPr>
          <w:bCs/>
          <w:b/>
        </w:rPr>
        <w:t xml:space="preserve">Ecosystem Alignment:</w:t>
      </w:r>
      <w:r>
        <w:t xml:space="preserve"> </w:t>
      </w:r>
      <w:r>
        <w:t xml:space="preserve">Native integration with Alibaba Cloud DataWorks and Tencent Cloud Databricks – essential for Beijing enterprises' existing infrastructures</w:t>
      </w:r>
    </w:p>
    <w:bookmarkEnd w:id="24"/>
    <w:bookmarkStart w:id="25" w:name="channel-strategy-beijing-centric-tactics"/>
    <w:p>
      <w:pPr>
        <w:pStyle w:val="Heading3"/>
      </w:pPr>
      <w:r>
        <w:t xml:space="preserve">2. Channel Strategy: Beijing-Centric Tactics</w:t>
      </w:r>
    </w:p>
    <w:p>
      <w:pPr>
        <w:pStyle w:val="FirstParagraph"/>
      </w:pPr>
      <w:r>
        <w:t xml:space="preserve">We'll deploy a multi-channel approach specifically designed for China Beijing:</w:t>
      </w:r>
    </w:p>
    <w:p>
      <w:pPr>
        <w:numPr>
          <w:ilvl w:val="0"/>
          <w:numId w:val="1004"/>
        </w:numPr>
        <w:pStyle w:val="Compact"/>
      </w:pPr>
      <w:r>
        <w:rPr>
          <w:bCs/>
          <w:b/>
        </w:rPr>
        <w:t xml:space="preserve">Zhongguancun Tech Park Partnerships:</w:t>
      </w:r>
      <w:r>
        <w:t xml:space="preserve"> </w:t>
      </w:r>
      <w:r>
        <w:t xml:space="preserve">Co-host monthly "Data Orchestration Innovation Forums" with Zhongguancun Development Group at their flagship venue</w:t>
      </w:r>
    </w:p>
    <w:p>
      <w:pPr>
        <w:numPr>
          <w:ilvl w:val="0"/>
          <w:numId w:val="1004"/>
        </w:numPr>
        <w:pStyle w:val="Compact"/>
      </w:pPr>
      <w:r>
        <w:rPr>
          <w:bCs/>
          <w:b/>
        </w:rPr>
        <w:t xml:space="preserve">WeChat Ecosystem Integration:</w:t>
      </w:r>
      <w:r>
        <w:t xml:space="preserve"> </w:t>
      </w:r>
      <w:r>
        <w:t xml:space="preserve">Launch Astronomer WeChat Mini Program for instant support and community engagement – critical for Beijing's mobile-first workforce</w:t>
      </w:r>
    </w:p>
    <w:p>
      <w:pPr>
        <w:numPr>
          <w:ilvl w:val="0"/>
          <w:numId w:val="1004"/>
        </w:numPr>
        <w:pStyle w:val="Compact"/>
      </w:pPr>
      <w:r>
        <w:rPr>
          <w:bCs/>
          <w:b/>
        </w:rPr>
        <w:t xml:space="preserve">Government Collaboration:</w:t>
      </w:r>
      <w:r>
        <w:t xml:space="preserve"> </w:t>
      </w:r>
      <w:r>
        <w:t xml:space="preserve">Partner with Beijing Municipal Science &amp; Technology Bureau on pilot programs for public sector data initiatives</w:t>
      </w:r>
    </w:p>
    <w:p>
      <w:pPr>
        <w:numPr>
          <w:ilvl w:val="0"/>
          <w:numId w:val="1004"/>
        </w:numPr>
        <w:pStyle w:val="Compact"/>
      </w:pPr>
      <w:r>
        <w:rPr>
          <w:bCs/>
          <w:b/>
        </w:rPr>
        <w:t xml:space="preserve">Influencer Engagement:</w:t>
      </w:r>
      <w:r>
        <w:t xml:space="preserve"> </w:t>
      </w:r>
      <w:r>
        <w:t xml:space="preserve">Collaborate with prominent Beijing-based data engineers (e.g., "Data Captain" on Bilibili) for platform tutorials</w:t>
      </w:r>
    </w:p>
    <w:bookmarkEnd w:id="25"/>
    <w:bookmarkStart w:id="26" w:name="content-thought-leadership"/>
    <w:p>
      <w:pPr>
        <w:pStyle w:val="Heading3"/>
      </w:pPr>
      <w:r>
        <w:t xml:space="preserve">3. Content &amp; Thought Leadership</w:t>
      </w:r>
    </w:p>
    <w:p>
      <w:pPr>
        <w:pStyle w:val="FirstParagraph"/>
      </w:pPr>
      <w:r>
        <w:t xml:space="preserve">Astronomer will position itself as the China Beijing data intelligence authority through:</w:t>
      </w:r>
    </w:p>
    <w:p>
      <w:pPr>
        <w:numPr>
          <w:ilvl w:val="0"/>
          <w:numId w:val="1005"/>
        </w:numPr>
        <w:pStyle w:val="Compact"/>
      </w:pPr>
      <w:r>
        <w:rPr>
          <w:bCs/>
          <w:b/>
        </w:rPr>
        <w:t xml:space="preserve">Beijing-Specific Case Studies:</w:t>
      </w:r>
      <w:r>
        <w:t xml:space="preserve"> </w:t>
      </w:r>
      <w:r>
        <w:t xml:space="preserve">Publish whitepapers on "Optimizing Data Workflows for Beijing's Financial Hub" and "PIPL-Compliant Data Pipelines at Tencent"</w:t>
      </w:r>
    </w:p>
    <w:p>
      <w:pPr>
        <w:numPr>
          <w:ilvl w:val="0"/>
          <w:numId w:val="1005"/>
        </w:numPr>
        <w:pStyle w:val="Compact"/>
      </w:pPr>
      <w:r>
        <w:rPr>
          <w:bCs/>
          <w:b/>
        </w:rPr>
        <w:t xml:space="preserve">Cultural Adaptation:</w:t>
      </w:r>
      <w:r>
        <w:t xml:space="preserve"> </w:t>
      </w:r>
      <w:r>
        <w:t xml:space="preserve">Host bilingual workshops (Mandarin/English) at Peking University and Tsinghua University's School of Engineering</w:t>
      </w:r>
    </w:p>
    <w:p>
      <w:pPr>
        <w:numPr>
          <w:ilvl w:val="0"/>
          <w:numId w:val="1005"/>
        </w:numPr>
        <w:pStyle w:val="Compact"/>
      </w:pPr>
      <w:r>
        <w:rPr>
          <w:bCs/>
          <w:b/>
        </w:rPr>
        <w:t xml:space="preserve">Media Relations:</w:t>
      </w:r>
      <w:r>
        <w:t xml:space="preserve"> </w:t>
      </w:r>
      <w:r>
        <w:t xml:space="preserve">Target Beijing-centric publications like iNFOCUS China and Beijing Today for feature articles on data innovation</w:t>
      </w:r>
    </w:p>
    <w:bookmarkEnd w:id="26"/>
    <w:bookmarkEnd w:id="27"/>
    <w:bookmarkStart w:id="28" w:name="budget-allocation-beijing-focus"/>
    <w:p>
      <w:pPr>
        <w:pStyle w:val="Heading2"/>
      </w:pPr>
      <w:r>
        <w:t xml:space="preserve">Budget Allocation (Beijing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 of Total)</w:t>
            </w:r>
          </w:p>
        </w:tc>
        <w:tc>
          <w:tcPr/>
          <w:p>
            <w:pPr>
              <w:pStyle w:val="Compact"/>
              <w:jc w:val="left"/>
            </w:pPr>
            <w:r>
              <w:t xml:space="preserve">Beijing-Specific Impact</w:t>
            </w:r>
          </w:p>
        </w:tc>
      </w:tr>
      <w:tr>
        <w:tc>
          <w:tcPr/>
          <w:p>
            <w:pPr>
              <w:pStyle w:val="Compact"/>
              <w:jc w:val="left"/>
            </w:pPr>
            <w:r>
              <w:t xml:space="preserve">Localize Platform &amp; Documentation</w:t>
            </w:r>
          </w:p>
        </w:tc>
        <w:tc>
          <w:tcPr/>
          <w:p>
            <w:pPr>
              <w:pStyle w:val="Compact"/>
              <w:jc w:val="left"/>
            </w:pPr>
            <w:r>
              <w:t xml:space="preserve">30%</w:t>
            </w:r>
          </w:p>
        </w:tc>
        <w:tc>
          <w:tcPr/>
          <w:p>
            <w:pPr>
              <w:pStyle w:val="Compact"/>
              <w:jc w:val="left"/>
            </w:pPr>
            <w:r>
              <w:t xml:space="preserve">Mandarin interface, PIPL compliance toolkit for Beijing enterprises</w:t>
            </w:r>
          </w:p>
        </w:tc>
      </w:tr>
      <w:tr>
        <w:tc>
          <w:tcPr/>
          <w:p>
            <w:pPr>
              <w:pStyle w:val="Compact"/>
              <w:jc w:val="left"/>
            </w:pPr>
            <w:r>
              <w:t xml:space="preserve">Zhongguancun Partnership Events</w:t>
            </w:r>
          </w:p>
        </w:tc>
        <w:tc>
          <w:tcPr/>
          <w:p>
            <w:pPr>
              <w:pStyle w:val="Compact"/>
              <w:jc w:val="left"/>
            </w:pPr>
            <w:r>
              <w:t xml:space="preserve">25%</w:t>
            </w:r>
          </w:p>
        </w:tc>
        <w:tc>
          <w:tcPr/>
          <w:p>
            <w:pPr>
              <w:pStyle w:val="Compact"/>
              <w:jc w:val="left"/>
            </w:pPr>
            <w:r>
              <w:t xml:space="preserve">Capturing 40% of target enterprise leads in Beijing's tech core</w:t>
            </w:r>
          </w:p>
        </w:tc>
      </w:tr>
      <w:tr>
        <w:tc>
          <w:tcPr/>
          <w:p>
            <w:pPr>
              <w:pStyle w:val="Compact"/>
              <w:jc w:val="left"/>
            </w:pPr>
            <w:r>
              <w:t xml:space="preserve">WeChat Community Management</w:t>
            </w:r>
          </w:p>
        </w:tc>
        <w:tc>
          <w:tcPr/>
          <w:p>
            <w:pPr>
              <w:pStyle w:val="Compact"/>
              <w:jc w:val="left"/>
            </w:pPr>
            <w:r>
              <w:t xml:space="preserve">20%</w:t>
            </w:r>
          </w:p>
        </w:tc>
        <w:tc>
          <w:tcPr/>
          <w:p>
            <w:pPr>
              <w:pStyle w:val="Compact"/>
              <w:jc w:val="left"/>
            </w:pPr>
            <w:r>
              <w:t xml:space="preserve">Growing user base through mobile-first engagement in Beijing</w:t>
            </w:r>
          </w:p>
        </w:tc>
      </w:tr>
      <w:tr>
        <w:tc>
          <w:tcPr/>
          <w:p>
            <w:pPr>
              <w:pStyle w:val="Compact"/>
              <w:jc w:val="left"/>
            </w:pPr>
            <w:r>
              <w:t xml:space="preserve">Government &amp; University Collaborations</w:t>
            </w:r>
          </w:p>
        </w:tc>
        <w:tc>
          <w:tcPr/>
          <w:p>
            <w:pPr>
              <w:pStyle w:val="Compact"/>
              <w:jc w:val="left"/>
            </w:pPr>
            <w:r>
              <w:t xml:space="preserve">15%</w:t>
            </w:r>
          </w:p>
        </w:tc>
        <w:tc>
          <w:tcPr/>
          <w:p>
            <w:pPr>
              <w:pStyle w:val="Compact"/>
              <w:jc w:val="left"/>
            </w:pPr>
            <w:r>
              <w:t xml:space="preserve">Building credibility with Beijing's key decision-makers</w:t>
            </w:r>
          </w:p>
        </w:tc>
      </w:tr>
      <w:tr>
        <w:tc>
          <w:tcPr/>
          <w:p>
            <w:pPr>
              <w:pStyle w:val="Compact"/>
              <w:jc w:val="left"/>
            </w:pPr>
            <w:r>
              <w:t xml:space="preserve">Digital Campaigns (WeChat, Baidu SEM)</w:t>
            </w:r>
          </w:p>
        </w:tc>
        <w:tc>
          <w:tcPr/>
          <w:p>
            <w:pPr>
              <w:pStyle w:val="Compact"/>
              <w:jc w:val="left"/>
            </w:pPr>
            <w:r>
              <w:t xml:space="preserve">10%</w:t>
            </w:r>
          </w:p>
        </w:tc>
        <w:tc>
          <w:tcPr/>
          <w:p>
            <w:pPr>
              <w:pStyle w:val="Compact"/>
              <w:jc w:val="left"/>
            </w:pPr>
            <w:r>
              <w:t xml:space="preserve">Targeted reach to 250K Beijing tech professionals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Platform localization and Zhongguancun partnership signing. Launch WeChat Mini Program for Beijing user acquisition.</w:t>
      </w:r>
      <w:r>
        <w:br/>
      </w:r>
      <w:r>
        <w:rPr>
          <w:bCs/>
          <w:b/>
        </w:rPr>
        <w:t xml:space="preserve">Months 4-6:</w:t>
      </w:r>
      <w:r>
        <w:t xml:space="preserve"> </w:t>
      </w:r>
      <w:r>
        <w:t xml:space="preserve">Host first "Beijing Data Orchestration Summit" with government co-sponsorship; initiate pilot programs with two major Beijing enterprises.</w:t>
      </w:r>
      <w:r>
        <w:br/>
      </w:r>
      <w:r>
        <w:rPr>
          <w:bCs/>
          <w:b/>
        </w:rPr>
        <w:t xml:space="preserve">Months 7-9:</w:t>
      </w:r>
      <w:r>
        <w:t xml:space="preserve"> </w:t>
      </w:r>
      <w:r>
        <w:t xml:space="preserve">Roll out university partnerships at Tsinghua/Peking; publish first Beijing-focused case study.</w:t>
      </w:r>
      <w:r>
        <w:br/>
      </w:r>
      <w:r>
        <w:rPr>
          <w:bCs/>
          <w:b/>
        </w:rPr>
        <w:t xml:space="preserve">Months 10-12:</w:t>
      </w:r>
      <w:r>
        <w:t xml:space="preserve"> </w:t>
      </w:r>
      <w:r>
        <w:t xml:space="preserve">Scale to 15 enterprise pilots; launch annual "Beijing Data Innovation Awards" with local media partners.</w:t>
      </w:r>
    </w:p>
    <w:bookmarkEnd w:id="29"/>
    <w:bookmarkStart w:id="30" w:name="evaluation-metrics"/>
    <w:p>
      <w:pPr>
        <w:pStyle w:val="Heading2"/>
      </w:pPr>
      <w:r>
        <w:t xml:space="preserve">Evaluation Metrics</w:t>
      </w:r>
    </w:p>
    <w:p>
      <w:pPr>
        <w:pStyle w:val="FirstParagraph"/>
      </w:pPr>
      <w:r>
        <w:t xml:space="preserve">We'll track success through Beijing-specific KPIs:</w:t>
      </w:r>
    </w:p>
    <w:p>
      <w:pPr>
        <w:numPr>
          <w:ilvl w:val="0"/>
          <w:numId w:val="1006"/>
        </w:numPr>
        <w:pStyle w:val="Compact"/>
      </w:pPr>
      <w:r>
        <w:rPr>
          <w:bCs/>
          <w:b/>
        </w:rPr>
        <w:t xml:space="preserve">Local Engagement Rate:</w:t>
      </w:r>
      <w:r>
        <w:t xml:space="preserve"> </w:t>
      </w:r>
      <w:r>
        <w:t xml:space="preserve">Measured via WeChat Mini Program interactions (target: 45% monthly active users)</w:t>
      </w:r>
    </w:p>
    <w:p>
      <w:pPr>
        <w:numPr>
          <w:ilvl w:val="0"/>
          <w:numId w:val="1006"/>
        </w:numPr>
        <w:pStyle w:val="Compact"/>
      </w:pPr>
      <w:r>
        <w:rPr>
          <w:bCs/>
          <w:b/>
        </w:rPr>
        <w:t xml:space="preserve">Pilot Conversion Rate:</w:t>
      </w:r>
      <w:r>
        <w:t xml:space="preserve"> </w:t>
      </w:r>
      <w:r>
        <w:t xml:space="preserve">Percentage of Beijing enterprise leads converting to paid pilots (target: 30% within 6 months)</w:t>
      </w:r>
    </w:p>
    <w:p>
      <w:pPr>
        <w:numPr>
          <w:ilvl w:val="0"/>
          <w:numId w:val="1006"/>
        </w:numPr>
        <w:pStyle w:val="Compact"/>
      </w:pPr>
      <w:r>
        <w:rPr>
          <w:bCs/>
          <w:b/>
        </w:rPr>
        <w:t xml:space="preserve">Cultural Relevance Score:</w:t>
      </w:r>
      <w:r>
        <w:t xml:space="preserve"> </w:t>
      </w:r>
      <w:r>
        <w:t xml:space="preserve">Net Promoter Score from Beijing user community (target: +45 NPS)</w:t>
      </w:r>
    </w:p>
    <w:p>
      <w:pPr>
        <w:numPr>
          <w:ilvl w:val="0"/>
          <w:numId w:val="1006"/>
        </w:numPr>
        <w:pStyle w:val="Compact"/>
      </w:pPr>
      <w:r>
        <w:rPr>
          <w:bCs/>
          <w:b/>
        </w:rPr>
        <w:t xml:space="preserve">Regulatory Compliance Certifications:</w:t>
      </w:r>
      <w:r>
        <w:t xml:space="preserve"> </w:t>
      </w:r>
      <w:r>
        <w:t xml:space="preserve">Successful validation of PIPL solutions with Beijing Municipal Cyber Security Bureau</w:t>
      </w:r>
    </w:p>
    <w:bookmarkEnd w:id="30"/>
    <w:bookmarkStart w:id="31" w:name="X64800226f65a79bb596b13394021d18d1b63d56"/>
    <w:p>
      <w:pPr>
        <w:pStyle w:val="Heading2"/>
      </w:pPr>
      <w:r>
        <w:t xml:space="preserve">Conclusion: The Astronomer Advantage in China Beijing</w:t>
      </w:r>
    </w:p>
    <w:p>
      <w:pPr>
        <w:pStyle w:val="FirstParagraph"/>
      </w:pPr>
      <w:r>
        <w:t xml:space="preserve">This Marketing Plan positions Astronomer as the indispensable data orchestration solution for China's most dynamic tech market. By deeply embedding into Beijing's innovation ecosystem through regulatory alignment, cultural adaptation, and strategic community building, Astronomer will transform from a technical tool to a trusted partner in Beijing's digital transformation journey. Our focus on delivering value specifically within China Beijing – where enterprise data demands meet government innovation initiatives – ensures sustainable growth while establishing Astronomer as the category leader. This plan doesn't just market a product; it engineers an ecosystem where Astronomer becomes synonymous with intelligent data operations in the heart of China's tech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China Beijing</dc:title>
  <dc:creator/>
  <dc:language>en</dc:language>
  <cp:keywords/>
  <dcterms:created xsi:type="dcterms:W3CDTF">2026-07-21T07:30:58Z</dcterms:created>
  <dcterms:modified xsi:type="dcterms:W3CDTF">2026-07-21T07:30:58Z</dcterms:modified>
</cp:coreProperties>
</file>

<file path=docProps/custom.xml><?xml version="1.0" encoding="utf-8"?>
<Properties xmlns="http://schemas.openxmlformats.org/officeDocument/2006/custom-properties" xmlns:vt="http://schemas.openxmlformats.org/officeDocument/2006/docPropsVTypes"/>
</file>