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Astronomer</w:t>
      </w:r>
      <w:r>
        <w:t xml:space="preserve"> </w:t>
      </w:r>
      <w:r>
        <w:t xml:space="preserve">-</w:t>
      </w:r>
      <w:r>
        <w:t xml:space="preserve"> </w:t>
      </w:r>
      <w:r>
        <w:t xml:space="preserve">Riyadh,</w:t>
      </w:r>
      <w:r>
        <w:t xml:space="preserve"> </w:t>
      </w:r>
      <w:r>
        <w:t xml:space="preserve">Saudi</w:t>
      </w:r>
      <w:r>
        <w:t xml:space="preserve"> </w:t>
      </w:r>
      <w:r>
        <w:t xml:space="preserve">Arabia</w:t>
      </w:r>
    </w:p>
    <w:bookmarkStart w:id="32" w:name="X54245894efadf7995fc3bb49448e58d32dadfb4"/>
    <w:p>
      <w:pPr>
        <w:pStyle w:val="Heading1"/>
      </w:pPr>
      <w:r>
        <w:t xml:space="preserve">Comprehensive Marketing Plan for Astronomer in Riyadh, Saudi Arabia</w:t>
      </w:r>
    </w:p>
    <w:bookmarkStart w:id="20" w:name="executive-summary"/>
    <w:p>
      <w:pPr>
        <w:pStyle w:val="Heading2"/>
      </w:pPr>
      <w:r>
        <w:t xml:space="preserve">Executive Summary</w:t>
      </w:r>
    </w:p>
    <w:p>
      <w:pPr>
        <w:pStyle w:val="FirstParagraph"/>
      </w:pPr>
      <w:r>
        <w:t xml:space="preserve">This Marketing Plan outlines the strategic approach for launching and scaling "Astronomer" – an innovative data analytics platform designed for enterprise decision-making – within the dynamic market of Riyadh, Saudi Arabia. Aligned with Vision 2030's digital transformation goals, this plan targets Saudi businesses seeking AI-driven insights to accelerate growth in key sectors including energy, finance, and e-commerce. With a focus on local cultural nuances and Riyadh's emerging tech ecosystem, Astronomer will establish itself as the premier analytics solution for Saudi enterprises by Q4 2024.</w:t>
      </w:r>
    </w:p>
    <w:bookmarkEnd w:id="20"/>
    <w:bookmarkStart w:id="21" w:name="Xb8883e1ab44cf94e0230d32625f33e3b14e1308"/>
    <w:p>
      <w:pPr>
        <w:pStyle w:val="Heading2"/>
      </w:pPr>
      <w:r>
        <w:t xml:space="preserve">Market Analysis: Riyadh &amp; Saudi Arabia Context</w:t>
      </w:r>
    </w:p>
    <w:p>
      <w:pPr>
        <w:pStyle w:val="FirstParagraph"/>
      </w:pPr>
      <w:r>
        <w:t xml:space="preserve">Riyadh represents the economic and technological heart of Saudi Arabia, with over 7.5 million residents and a GDP growth rate of 3.6% in 2023 (World Bank). The city hosts 80% of Saudi Arabia's Fortune Global 500 companies and is home to major initiatives like NEOM and the Riyadh Capital Market Development Program. Crucially, Saudi Vision 2030 prioritizes digital adoption – with a target of $16 billion in tech sector investment by 2030 – creating unprecedented demand for data-driven solutions. Current market gaps include limited localized analytics tools that understand Arabic business contexts and Saudi operational workflows.</w:t>
      </w:r>
    </w:p>
    <w:bookmarkEnd w:id="21"/>
    <w:bookmarkStart w:id="22" w:name="target-audience-in-riyadh"/>
    <w:p>
      <w:pPr>
        <w:pStyle w:val="Heading2"/>
      </w:pPr>
      <w:r>
        <w:t xml:space="preserve">Target Audience in Riyadh</w:t>
      </w:r>
    </w:p>
    <w:p>
      <w:pPr>
        <w:numPr>
          <w:ilvl w:val="0"/>
          <w:numId w:val="1001"/>
        </w:numPr>
        <w:pStyle w:val="Compact"/>
      </w:pPr>
      <w:r>
        <w:rPr>
          <w:bCs/>
          <w:b/>
        </w:rPr>
        <w:t xml:space="preserve">Primary:</w:t>
      </w:r>
      <w:r>
        <w:t xml:space="preserve"> </w:t>
      </w:r>
      <w:r>
        <w:t xml:space="preserve">Mid-to-large enterprises (500+ employees) across oil &amp; gas, banking (e.g., SABB, Al Rajhi), retail (e.g., Al-Fayha Group), and government-linked entities in Riyadh</w:t>
      </w:r>
    </w:p>
    <w:p>
      <w:pPr>
        <w:numPr>
          <w:ilvl w:val="0"/>
          <w:numId w:val="1001"/>
        </w:numPr>
        <w:pStyle w:val="Compact"/>
      </w:pPr>
      <w:r>
        <w:rPr>
          <w:bCs/>
          <w:b/>
        </w:rPr>
        <w:t xml:space="preserve">Secondary:</w:t>
      </w:r>
      <w:r>
        <w:t xml:space="preserve"> </w:t>
      </w:r>
      <w:r>
        <w:t xml:space="preserve">Tech startups in Riyadh's Innovation Hub ecosystem and educational institutions (King Saud University, KAUST) seeking student analytics tools</w:t>
      </w:r>
    </w:p>
    <w:p>
      <w:pPr>
        <w:pStyle w:val="FirstParagraph"/>
      </w:pPr>
      <w:r>
        <w:t xml:space="preserve">Astronomer will tailor solutions to address Saudi-specific needs: Arabic language support, compliance with Saudi data localization laws (NCA), and integration with local enterprise systems like SAP Arabia.</w:t>
      </w:r>
    </w:p>
    <w:bookmarkEnd w:id="22"/>
    <w:bookmarkStart w:id="23" w:name="marketing-objectives-2024-2025"/>
    <w:p>
      <w:pPr>
        <w:pStyle w:val="Heading2"/>
      </w:pPr>
      <w:r>
        <w:t xml:space="preserve">Marketing Objectives (2024-2025)</w:t>
      </w:r>
    </w:p>
    <w:p>
      <w:pPr>
        <w:numPr>
          <w:ilvl w:val="0"/>
          <w:numId w:val="1002"/>
        </w:numPr>
        <w:pStyle w:val="Compact"/>
      </w:pPr>
      <w:r>
        <w:t xml:space="preserve">Acquire 15 enterprise clients in Riyadh within 18 months</w:t>
      </w:r>
    </w:p>
    <w:p>
      <w:pPr>
        <w:numPr>
          <w:ilvl w:val="0"/>
          <w:numId w:val="1002"/>
        </w:numPr>
        <w:pStyle w:val="Compact"/>
      </w:pPr>
      <w:r>
        <w:t xml:space="preserve">Secure 3 strategic government partnerships through Saudi Digital Government initiatives</w:t>
      </w:r>
    </w:p>
    <w:p>
      <w:pPr>
        <w:numPr>
          <w:ilvl w:val="0"/>
          <w:numId w:val="1002"/>
        </w:numPr>
        <w:pStyle w:val="Compact"/>
      </w:pPr>
      <w:r>
        <w:t xml:space="preserve">Achieve 65% brand recognition among Riyadh's business community by Q4 2025</w:t>
      </w:r>
    </w:p>
    <w:p>
      <w:pPr>
        <w:numPr>
          <w:ilvl w:val="0"/>
          <w:numId w:val="1002"/>
        </w:numPr>
        <w:pStyle w:val="Compact"/>
      </w:pPr>
      <w:r>
        <w:t xml:space="preserve">Generate $1.2M in ARR from the Riyadh market by end of Year 2</w:t>
      </w:r>
    </w:p>
    <w:bookmarkEnd w:id="23"/>
    <w:bookmarkStart w:id="27" w:name="marketing-strategies-tactics"/>
    <w:p>
      <w:pPr>
        <w:pStyle w:val="Heading2"/>
      </w:pPr>
      <w:r>
        <w:t xml:space="preserve">Marketing Strategies &amp; Tactics</w:t>
      </w:r>
    </w:p>
    <w:bookmarkStart w:id="24" w:name="localized-product-positioning"/>
    <w:p>
      <w:pPr>
        <w:pStyle w:val="Heading3"/>
      </w:pPr>
      <w:r>
        <w:t xml:space="preserve">Localized Product Positioning</w:t>
      </w:r>
    </w:p>
    <w:p>
      <w:pPr>
        <w:pStyle w:val="FirstParagraph"/>
      </w:pPr>
      <w:r>
        <w:t xml:space="preserve">Astronomer will reframe its value proposition for Saudi businesses: "Astronomer: Your Data, Decoded for Saudi Arabia." Core features include:</w:t>
      </w:r>
    </w:p>
    <w:p>
      <w:pPr>
        <w:pStyle w:val="BodyText"/>
      </w:pPr>
      <w:r>
        <w:t xml:space="preserve">Arabic UI/UX with culturally appropriate data visualization (e.g., avoiding Western-centric chart formats)</w:t>
      </w:r>
    </w:p>
    <w:p>
      <w:pPr>
        <w:pStyle w:val="BodyText"/>
      </w:pPr>
      <w:r>
        <w:t xml:space="preserve">Saudi-specific KPIs pre-configured for energy sector compliance and Vision 2030 alignment</w:t>
      </w:r>
    </w:p>
    <w:p>
      <w:pPr>
        <w:pStyle w:val="BodyText"/>
      </w:pPr>
      <w:r>
        <w:t xml:space="preserve">Integration with Saudi Cloud (Saudi Data &amp; AI Authority infrastructure)</w:t>
      </w:r>
    </w:p>
    <w:bookmarkEnd w:id="24"/>
    <w:bookmarkStart w:id="25" w:name="channel-strategy-for-riyadh"/>
    <w:p>
      <w:pPr>
        <w:pStyle w:val="Heading3"/>
      </w:pPr>
      <w:r>
        <w:t xml:space="preserve">Channel Strategy for Riyadh</w:t>
      </w:r>
    </w:p>
    <w:p>
      <w:pPr>
        <w:numPr>
          <w:ilvl w:val="0"/>
          <w:numId w:val="1003"/>
        </w:numPr>
        <w:pStyle w:val="Compact"/>
      </w:pPr>
      <w:r>
        <w:rPr>
          <w:bCs/>
          <w:b/>
        </w:rPr>
        <w:t xml:space="preserve">Government &amp; Enterprise Partnerships:</w:t>
      </w:r>
      <w:r>
        <w:t xml:space="preserve"> </w:t>
      </w:r>
      <w:r>
        <w:t xml:space="preserve">Leverage Riyadh's Ministry of Investment (MISA) to become a preferred analytics solution for Vision 2030 projects. Target joint workshops with Saudi Aramco, SABIC, and the Public Investment Fund (PIF).</w:t>
      </w:r>
    </w:p>
    <w:p>
      <w:pPr>
        <w:numPr>
          <w:ilvl w:val="0"/>
          <w:numId w:val="1003"/>
        </w:numPr>
        <w:pStyle w:val="Compact"/>
      </w:pPr>
      <w:r>
        <w:rPr>
          <w:bCs/>
          <w:b/>
        </w:rPr>
        <w:t xml:space="preserve">Digital Advertising:</w:t>
      </w:r>
      <w:r>
        <w:t xml:space="preserve"> </w:t>
      </w:r>
      <w:r>
        <w:t xml:space="preserve">Geo-targeted LinkedIn campaigns focusing on Riyadh business leaders; Google Ads in Arabic targeting keywords like "business analytics Riyadh" or "data solution Saudi Arabia."</w:t>
      </w:r>
    </w:p>
    <w:p>
      <w:pPr>
        <w:numPr>
          <w:ilvl w:val="0"/>
          <w:numId w:val="1003"/>
        </w:numPr>
        <w:pStyle w:val="Compact"/>
      </w:pPr>
      <w:r>
        <w:rPr>
          <w:bCs/>
          <w:b/>
        </w:rPr>
        <w:t xml:space="preserve">Events &amp; Community Building:</w:t>
      </w:r>
      <w:r>
        <w:t xml:space="preserve"> </w:t>
      </w:r>
      <w:r>
        <w:t xml:space="preserve">Host quarterly "Data for Vision 2030" summits at Riyadh Front and Al Ula, featuring local success stories. Sponsor the Saudi Data &amp; AI Summit.</w:t>
      </w:r>
    </w:p>
    <w:p>
      <w:pPr>
        <w:numPr>
          <w:ilvl w:val="0"/>
          <w:numId w:val="1003"/>
        </w:numPr>
        <w:pStyle w:val="Compact"/>
      </w:pPr>
      <w:r>
        <w:rPr>
          <w:bCs/>
          <w:b/>
        </w:rPr>
        <w:t xml:space="preserve">Local Influencers:</w:t>
      </w:r>
      <w:r>
        <w:t xml:space="preserve"> </w:t>
      </w:r>
      <w:r>
        <w:t xml:space="preserve">Partner with Riyadh-based tech influencers (e.g., @SaudiTechGuru) for authentic platform demonstrations in Arabic.</w:t>
      </w:r>
    </w:p>
    <w:bookmarkEnd w:id="25"/>
    <w:bookmarkStart w:id="26" w:name="cultural-integration"/>
    <w:p>
      <w:pPr>
        <w:pStyle w:val="Heading3"/>
      </w:pPr>
      <w:r>
        <w:t xml:space="preserve">Cultural Integration</w:t>
      </w:r>
    </w:p>
    <w:p>
      <w:pPr>
        <w:pStyle w:val="FirstParagraph"/>
      </w:pPr>
      <w:r>
        <w:t xml:space="preserve">All marketing materials will adhere to Saudi cultural standards: modest imagery, gender-inclusive representation (showing both male and female professionals), and alignment with Islamic values through messaging like "Empowering Saudi Business Ethically." Content will avoid Western-centric examples, using Riyadh-based case studies instead.</w:t>
      </w:r>
    </w:p>
    <w:bookmarkEnd w:id="26"/>
    <w:bookmarkEnd w:id="27"/>
    <w:bookmarkStart w:id="28" w:name="budget-allocation-riyadh-focus"/>
    <w:p>
      <w:pPr>
        <w:pStyle w:val="Heading2"/>
      </w:pPr>
      <w:r>
        <w:t xml:space="preserve">Budget Allocation (Riyadh Focus)</w:t>
      </w:r>
    </w:p>
    <w:p>
      <w:pPr>
        <w:pStyle w:val="FirstParagraph"/>
      </w:pPr>
      <w:r>
        <w:t xml:space="preserve">Initiative</w:t>
      </w:r>
    </w:p>
    <w:p>
      <w:pPr>
        <w:pStyle w:val="BodyText"/>
      </w:pPr>
      <w:r>
        <w:t xml:space="preserve">Allocation</w:t>
      </w:r>
    </w:p>
    <w:p>
      <w:pPr>
        <w:pStyle w:val="BodyText"/>
      </w:pPr>
      <w:r>
        <w:t xml:space="preserve">Key Metrics</w:t>
      </w:r>
    </w:p>
    <w:p>
      <w:pPr>
        <w:pStyle w:val="BodyText"/>
      </w:pPr>
      <w:r>
        <w:t xml:space="preserve">Government Engagement &amp; Partnerships</w:t>
      </w:r>
    </w:p>
    <w:p>
      <w:pPr>
        <w:pStyle w:val="BodyText"/>
      </w:pPr>
      <w:r>
        <w:t xml:space="preserve">40%</w:t>
      </w:r>
    </w:p>
    <w:p>
      <w:pPr>
        <w:pStyle w:val="BodyText"/>
      </w:pPr>
      <w:r>
        <w:t xml:space="preserve"># of MoUs signed, Government referrals</w:t>
      </w:r>
    </w:p>
    <w:p>
      <w:pPr>
        <w:pStyle w:val="BodyText"/>
      </w:pPr>
      <w:r>
        <w:t xml:space="preserve">Digital Marketing (Arabic Content)</w:t>
      </w:r>
    </w:p>
    <w:p>
      <w:pPr>
        <w:pStyle w:val="BodyText"/>
      </w:pPr>
      <w:r>
        <w:t xml:space="preserve">30%</w:t>
      </w:r>
    </w:p>
    <w:p>
      <w:pPr>
        <w:pStyle w:val="BodyText"/>
      </w:pPr>
      <w:r>
        <w:t xml:space="preserve">Lead conversion rate, Cost per Lead</w:t>
      </w:r>
    </w:p>
    <w:p>
      <w:pPr>
        <w:pStyle w:val="BodyText"/>
      </w:pPr>
      <w:r>
        <w:t xml:space="preserve">Riyadh Events &amp; Community Building</w:t>
      </w:r>
    </w:p>
    <w:p>
      <w:pPr>
        <w:pStyle w:val="BodyText"/>
      </w:pPr>
      <w:r>
        <w:t xml:space="preserve">20%</w:t>
      </w:r>
    </w:p>
    <w:p>
      <w:pPr>
        <w:pStyle w:val="BodyText"/>
      </w:pPr>
      <w:r>
        <w:t xml:space="preserve">Attendee count, Post-event sales pipeline</w:t>
      </w:r>
    </w:p>
    <w:p>
      <w:pPr>
        <w:pStyle w:val="BodyText"/>
      </w:pPr>
      <w:r>
        <w:t xml:space="preserve">Localized Content Creation (Arabic)</w:t>
      </w:r>
    </w:p>
    <w:p>
      <w:pPr>
        <w:pStyle w:val="BodyText"/>
      </w:pPr>
      <w:r>
        <w:t xml:space="preserve">10%</w:t>
      </w:r>
    </w:p>
    <w:p>
      <w:pPr>
        <w:pStyle w:val="BodyText"/>
      </w:pPr>
      <w:r>
        <w:t xml:space="preserve">Campaign engagement rate, Social shares</w:t>
      </w:r>
    </w:p>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Finalize Arabic localization; Secure pilot with two Riyadh-based energy firms.</w:t>
      </w:r>
    </w:p>
    <w:p>
      <w:pPr>
        <w:pStyle w:val="BodyText"/>
      </w:pPr>
      <w:r>
        <w:rPr>
          <w:bCs/>
          <w:b/>
        </w:rPr>
        <w:t xml:space="preserve">Q3 2024:</w:t>
      </w:r>
      <w:r>
        <w:t xml:space="preserve"> </w:t>
      </w:r>
      <w:r>
        <w:t xml:space="preserve">Launch "Data for Vision 2030" summit at Riyadh Front; Initiate government partnership discussions.</w:t>
      </w:r>
    </w:p>
    <w:p>
      <w:pPr>
        <w:pStyle w:val="BodyText"/>
      </w:pPr>
      <w:r>
        <w:rPr>
          <w:bCs/>
          <w:b/>
        </w:rPr>
        <w:t xml:space="preserve">H1 2025:</w:t>
      </w:r>
      <w:r>
        <w:t xml:space="preserve"> </w:t>
      </w:r>
      <w:r>
        <w:t xml:space="preserve">Achieve first $500K ARR in Riyadh; Expand to education sector via KAUST partnership.</w:t>
      </w:r>
    </w:p>
    <w:p>
      <w:pPr>
        <w:pStyle w:val="BodyText"/>
      </w:pPr>
      <w:r>
        <w:rPr>
          <w:bCs/>
          <w:b/>
        </w:rPr>
        <w:t xml:space="preserve">Q4 2025:</w:t>
      </w:r>
      <w:r>
        <w:t xml:space="preserve"> </w:t>
      </w:r>
      <w:r>
        <w:t xml:space="preserve">Target $1.2M ARR milestone; Apply for Saudi Data &amp; AI Authority certification.</w:t>
      </w:r>
    </w:p>
    <w:bookmarkEnd w:id="29"/>
    <w:bookmarkStart w:id="30" w:name="measurement-evaluation"/>
    <w:p>
      <w:pPr>
        <w:pStyle w:val="Heading2"/>
      </w:pPr>
      <w:r>
        <w:t xml:space="preserve">Measurement &amp; Evaluation</w:t>
      </w:r>
    </w:p>
    <w:p>
      <w:pPr>
        <w:pStyle w:val="FirstParagraph"/>
      </w:pPr>
      <w:r>
        <w:t xml:space="preserve">Astronomer will track KPIs specific to the Riyadh market using a dashboard updated monthly:</w:t>
      </w:r>
    </w:p>
    <w:p>
      <w:pPr>
        <w:numPr>
          <w:ilvl w:val="0"/>
          <w:numId w:val="1004"/>
        </w:numPr>
        <w:pStyle w:val="Compact"/>
      </w:pPr>
      <w:r>
        <w:t xml:space="preserve">Market penetration rate (vs. competitors like Tableau in Saudi Arabia)</w:t>
      </w:r>
    </w:p>
    <w:p>
      <w:pPr>
        <w:numPr>
          <w:ilvl w:val="0"/>
          <w:numId w:val="1004"/>
        </w:numPr>
        <w:pStyle w:val="Compact"/>
      </w:pPr>
      <w:r>
        <w:t xml:space="preserve">Customer acquisition cost from Riyadh vs. national average</w:t>
      </w:r>
    </w:p>
    <w:p>
      <w:pPr>
        <w:numPr>
          <w:ilvl w:val="0"/>
          <w:numId w:val="1004"/>
        </w:numPr>
        <w:pStyle w:val="Compact"/>
      </w:pPr>
      <w:r>
        <w:t xml:space="preserve">Saudi customer satisfaction score (CSAT) with Arabic support team</w:t>
      </w:r>
    </w:p>
    <w:p>
      <w:pPr>
        <w:numPr>
          <w:ilvl w:val="0"/>
          <w:numId w:val="1004"/>
        </w:numPr>
        <w:pStyle w:val="Compact"/>
      </w:pPr>
      <w:r>
        <w:t xml:space="preserve">Alignment with Vision 2030 metrics (e.g., % of clients reporting improved digital maturity)</w:t>
      </w:r>
    </w:p>
    <w:bookmarkEnd w:id="30"/>
    <w:bookmarkStart w:id="31" w:name="conclusion-astronomers-saudi-advantage"/>
    <w:p>
      <w:pPr>
        <w:pStyle w:val="Heading2"/>
      </w:pPr>
      <w:r>
        <w:t xml:space="preserve">Conclusion: Astronomer's Saudi Advantage</w:t>
      </w:r>
    </w:p>
    <w:p>
      <w:pPr>
        <w:pStyle w:val="FirstParagraph"/>
      </w:pPr>
      <w:r>
        <w:t xml:space="preserve">This Marketing Plan positions Astronomer not merely as an analytics tool, but as a strategic partner for Saudi Arabia's economic transformation. By embedding itself within Riyadh's business ecosystem and respecting the cultural context of Saudi Arabia, Astronomer will become synonymous with trusted data intelligence in the region. The plan directly addresses Vision 2030 priorities while delivering measurable ROI for Riyadh enterprises – turning astronomical data into actionable national growth. As a leader in the Saudi tech landscape, Astronomer will set new standards for enterprise analytics that celebrate local identity while driving global competitiveness.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Astronomer - Riyadh, Saudi Arabia</dc:title>
  <dc:creator/>
  <dc:language>en</dc:language>
  <cp:keywords/>
  <dcterms:created xsi:type="dcterms:W3CDTF">2026-07-23T20:59:24Z</dcterms:created>
  <dcterms:modified xsi:type="dcterms:W3CDTF">2026-07-23T20:59:24Z</dcterms:modified>
</cp:coreProperties>
</file>

<file path=docProps/custom.xml><?xml version="1.0" encoding="utf-8"?>
<Properties xmlns="http://schemas.openxmlformats.org/officeDocument/2006/custom-properties" xmlns:vt="http://schemas.openxmlformats.org/officeDocument/2006/docPropsVTypes"/>
</file>