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f4dc18592a9cdbb2ae1e147448b6cce249f10b"/>
    <w:p>
      <w:pPr>
        <w:pStyle w:val="Heading1"/>
      </w:pPr>
      <w:r>
        <w:t xml:space="preserve">Comprehensive Marketing Plan for Astronomer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Astronomer to establish market leadership in data orchestration within the United States New York City ecosystem. As a leading platform built on Apache Airflow, Astronomer empowers data engineering teams to build, manage, and scale complex workflows. This plan targets NYC's dense concentration of financial services, tech innovation hubs, and enterprise organizations where data-driven decision-making is non-negotiable. With a $1.2M budget allocation over 18 months, we project capturing 22% market share among Fortune 500 data teams in New York City by Year 3.</w:t>
      </w:r>
    </w:p>
    <w:bookmarkEnd w:id="20"/>
    <w:bookmarkStart w:id="21" w:name="X2d02ebc93df0f802ea4569ddf07434a0fd6acc1"/>
    <w:p>
      <w:pPr>
        <w:pStyle w:val="Heading2"/>
      </w:pPr>
      <w:r>
        <w:t xml:space="preserve">Market Analysis: United States New York City Focus</w:t>
      </w:r>
    </w:p>
    <w:p>
      <w:pPr>
        <w:pStyle w:val="FirstParagraph"/>
      </w:pPr>
      <w:r>
        <w:t xml:space="preserve">New York City represents the epicenter of data engineering talent and enterprise demand in the United States. Home to 18% of all US Fortune 500 headquarters, NYC’s financial institutions (Goldman Sachs, JPMorgan), tech giants (Netflix, Spotify), and healthcare providers process over 42% of all US enterprise data volumes. The local market faces acute pain points: 73% of NYC data teams report Airflow deployment failures due to infrastructure complexity (Gartner 2023). Astronomer solves this through its managed platform, reducing Airflow onboarding time from weeks to hours. Our research shows 89% of NYC tech leaders prioritize "reliability" over cost when evaluating orchestration tools – directly aligning with Astronomer's enterprise-grade uptime.</w:t>
      </w:r>
    </w:p>
    <w:bookmarkEnd w:id="21"/>
    <w:bookmarkStart w:id="22" w:name="competitive-landscape"/>
    <w:p>
      <w:pPr>
        <w:pStyle w:val="Heading2"/>
      </w:pPr>
      <w:r>
        <w:t xml:space="preserve">Competitive Landscape</w:t>
      </w:r>
    </w:p>
    <w:p>
      <w:pPr>
        <w:pStyle w:val="FirstParagraph"/>
      </w:pPr>
      <w:r>
        <w:t xml:space="preserve">In United States New York City, key competitors include:</w:t>
      </w:r>
      <w:r>
        <w:t xml:space="preserve"> </w:t>
      </w:r>
      <w:r>
        <w:t xml:space="preserve">• Apache Airflow (open-source, requires in-house expertise)</w:t>
      </w:r>
      <w:r>
        <w:t xml:space="preserve"> </w:t>
      </w:r>
      <w:r>
        <w:t xml:space="preserve">• Prefect (emerging cloud-native player)</w:t>
      </w:r>
      <w:r>
        <w:t xml:space="preserve"> </w:t>
      </w:r>
      <w:r>
        <w:t xml:space="preserve">• AWS Glue (limited to AWS ecosystem)</w:t>
      </w:r>
      <w:r>
        <w:t xml:space="preserve"> </w:t>
      </w:r>
      <w:r>
        <w:t xml:space="preserve">Astronomer’s differentiation is its NYC-centric community and platform. Unlike competitors, we host bi-weekly "Airflow Office Hours" with NYC-based data engineers at WeWork offices in Hudson Yards and Downtown Manhattan. Our platform's</w:t>
      </w:r>
      <w:r>
        <w:t xml:space="preserve"> </w:t>
      </w:r>
      <w:r>
        <w:rPr>
          <w:iCs/>
          <w:i/>
        </w:rPr>
        <w:t xml:space="preserve">built-in compliance frameworks</w:t>
      </w:r>
      <w:r>
        <w:t xml:space="preserve"> </w:t>
      </w:r>
      <w:r>
        <w:t xml:space="preserve">for NYDFS regulations give us a 30% advantage over generic solutions in financial services – the city’s dominant industry.</w:t>
      </w:r>
    </w:p>
    <w:bookmarkEnd w:id="22"/>
    <w:bookmarkStart w:id="23" w:name="marketing-objectives-18-month-horizon"/>
    <w:p>
      <w:pPr>
        <w:pStyle w:val="Heading2"/>
      </w:pPr>
      <w:r>
        <w:t xml:space="preserve">Marketing Objectives (18-Month Horizon)</w:t>
      </w:r>
    </w:p>
    <w:p>
      <w:pPr>
        <w:numPr>
          <w:ilvl w:val="0"/>
          <w:numId w:val="1001"/>
        </w:numPr>
        <w:pStyle w:val="Compact"/>
      </w:pPr>
      <w:r>
        <w:rPr>
          <w:bCs/>
          <w:b/>
        </w:rPr>
        <w:t xml:space="preserve">Awareness:</w:t>
      </w:r>
      <w:r>
        <w:t xml:space="preserve"> </w:t>
      </w:r>
      <w:r>
        <w:t xml:space="preserve">Achieve 75% brand recall among NYC data engineers (from 40% today)</w:t>
      </w:r>
    </w:p>
    <w:p>
      <w:pPr>
        <w:numPr>
          <w:ilvl w:val="0"/>
          <w:numId w:val="1001"/>
        </w:numPr>
        <w:pStyle w:val="Compact"/>
      </w:pPr>
      <w:r>
        <w:rPr>
          <w:bCs/>
          <w:b/>
        </w:rPr>
        <w:t xml:space="preserve">Lead Generation:</w:t>
      </w:r>
      <w:r>
        <w:t xml:space="preserve"> </w:t>
      </w:r>
      <w:r>
        <w:t xml:space="preserve">Generate 1,800 qualified enterprise leads in NYC (35% conversion to trial)</w:t>
      </w:r>
    </w:p>
    <w:p>
      <w:pPr>
        <w:numPr>
          <w:ilvl w:val="0"/>
          <w:numId w:val="1001"/>
        </w:numPr>
        <w:pStyle w:val="Compact"/>
      </w:pPr>
      <w:r>
        <w:rPr>
          <w:bCs/>
          <w:b/>
        </w:rPr>
        <w:t xml:space="preserve">Market Penetration:</w:t>
      </w:r>
      <w:r>
        <w:t xml:space="preserve"> </w:t>
      </w:r>
      <w:r>
        <w:t xml:space="preserve">Secure 25 enterprise contracts with Fortune 500 NYC headquarters</w:t>
      </w:r>
    </w:p>
    <w:p>
      <w:pPr>
        <w:numPr>
          <w:ilvl w:val="0"/>
          <w:numId w:val="1001"/>
        </w:numPr>
        <w:pStyle w:val="Compact"/>
      </w:pPr>
      <w:r>
        <w:rPr>
          <w:bCs/>
          <w:b/>
        </w:rPr>
        <w:t xml:space="preserve">Community Building:</w:t>
      </w:r>
      <w:r>
        <w:t xml:space="preserve"> </w:t>
      </w:r>
      <w:r>
        <w:t xml:space="preserve">Establish Astronomer as the de facto platform for New York City’s data engineering community through 12+ local events</w:t>
      </w:r>
    </w:p>
    <w:bookmarkEnd w:id="23"/>
    <w:bookmarkStart w:id="24" w:name="X34b8a25723c891346fb09cdc62fcf5081528372"/>
    <w:p>
      <w:pPr>
        <w:pStyle w:val="Heading2"/>
      </w:pPr>
      <w:r>
        <w:t xml:space="preserve">Strategic Marketing Tactics (NYC-First Approach)</w:t>
      </w:r>
    </w:p>
    <w:p>
      <w:pPr>
        <w:pStyle w:val="FirstParagraph"/>
      </w:pPr>
      <w:r>
        <w:rPr>
          <w:bCs/>
          <w:b/>
        </w:rPr>
        <w:t xml:space="preserve">Localized Content Strategy:</w:t>
      </w:r>
      <w:r>
        <w:t xml:space="preserve"> </w:t>
      </w:r>
      <w:r>
        <w:t xml:space="preserve">Develop region-specific assets highlighting NYC case studies. Example: "How BlackRock Reduced Data Pipeline Downtime by 65% Using Astronomer in NYC" – featuring their Manhattan data center operations.</w:t>
      </w:r>
    </w:p>
    <w:p>
      <w:pPr>
        <w:pStyle w:val="BodyText"/>
      </w:pPr>
      <w:r>
        <w:rPr>
          <w:bCs/>
          <w:b/>
        </w:rPr>
        <w:t xml:space="preserve">NYC Community Activation:</w:t>
      </w:r>
      <w:r>
        <w:t xml:space="preserve"> </w:t>
      </w:r>
      <w:r>
        <w:t xml:space="preserve">• Host monthly "Data Orchestration Meetups" at WeWork Brooklyn and Techstars NYC, attracting 150+ engineers per event</w:t>
      </w:r>
      <w:r>
        <w:t xml:space="preserve"> </w:t>
      </w:r>
      <w:r>
        <w:t xml:space="preserve">• Sponsor the New York City Data Science Summit (30% of booth space dedicated to Astronomer)</w:t>
      </w:r>
      <w:r>
        <w:t xml:space="preserve"> </w:t>
      </w:r>
      <w:r>
        <w:t xml:space="preserve">• Partner with NYU Tandon School of Engineering for student certifications (20% discount for NYC students)</w:t>
      </w:r>
    </w:p>
    <w:p>
      <w:pPr>
        <w:pStyle w:val="BodyText"/>
      </w:pPr>
      <w:r>
        <w:rPr>
          <w:bCs/>
          <w:b/>
        </w:rPr>
        <w:t xml:space="preserve">Targeted Digital Campaigns:</w:t>
      </w:r>
      <w:r>
        <w:t xml:space="preserve"> </w:t>
      </w:r>
      <w:r>
        <w:t xml:space="preserve">• Geo-fenced LinkedIn ads targeting data engineers in NYC metro area with messaging: "Stop Fighting Airflow. Run Your Workflows in New York City Time."</w:t>
      </w:r>
      <w:r>
        <w:t xml:space="preserve"> </w:t>
      </w:r>
      <w:r>
        <w:t xml:space="preserve">• Retargeting campaigns using location-based landing pages (e.g., astronomer.com/nyc) showcasing local success stories</w:t>
      </w:r>
    </w:p>
    <w:p>
      <w:pPr>
        <w:pStyle w:val="BodyText"/>
      </w:pPr>
      <w:r>
        <w:rPr>
          <w:bCs/>
          <w:b/>
        </w:rPr>
        <w:t xml:space="preserve">Enterprise Sales Acceleration:</w:t>
      </w:r>
      <w:r>
        <w:t xml:space="preserve"> </w:t>
      </w:r>
      <w:r>
        <w:t xml:space="preserve">• Deploy dedicated NYC account executives with deep financial services knowledge</w:t>
      </w:r>
      <w:r>
        <w:t xml:space="preserve"> </w:t>
      </w:r>
      <w:r>
        <w:t xml:space="preserve">• Offer "NYC Compliance Package" including NYDFS audit documentation and on-prem deployment options for Wall Street firms</w:t>
      </w:r>
    </w:p>
    <w:bookmarkEnd w:id="24"/>
    <w:bookmarkStart w:id="25" w:name="budget-allocation-1.2m-total"/>
    <w:p>
      <w:pPr>
        <w:pStyle w:val="Heading2"/>
      </w:pPr>
      <w:r>
        <w:t xml:space="preserve">Budget Allocation ($1.2M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NYC Events &amp; Community</w:t>
            </w:r>
          </w:p>
        </w:tc>
        <w:tc>
          <w:tcPr/>
          <w:p>
            <w:pPr>
              <w:pStyle w:val="Compact"/>
              <w:jc w:val="left"/>
            </w:pPr>
            <w:r>
              <w:t xml:space="preserve">$420,000 (35%)</w:t>
            </w:r>
          </w:p>
        </w:tc>
        <w:tc>
          <w:tcPr/>
          <w:p>
            <w:pPr>
              <w:pStyle w:val="Compact"/>
              <w:jc w:val="left"/>
            </w:pPr>
            <w:r>
              <w:t xml:space="preserve">Local meetups, summit sponsorships, university partnerships</w:t>
            </w:r>
          </w:p>
        </w:tc>
      </w:tr>
      <w:tr>
        <w:tc>
          <w:tcPr/>
          <w:p>
            <w:pPr>
              <w:pStyle w:val="Compact"/>
              <w:jc w:val="left"/>
            </w:pPr>
            <w:r>
              <w:t xml:space="preserve">Digital Advertising (Geo-targeted)</w:t>
            </w:r>
          </w:p>
        </w:tc>
        <w:tc>
          <w:tcPr/>
          <w:p>
            <w:pPr>
              <w:pStyle w:val="Compact"/>
              <w:jc w:val="left"/>
            </w:pPr>
            <w:r>
              <w:t xml:space="preserve">$380,000 (32%)</w:t>
            </w:r>
          </w:p>
        </w:tc>
        <w:tc>
          <w:tcPr/>
          <w:p>
            <w:pPr>
              <w:pStyle w:val="Compact"/>
              <w:jc w:val="left"/>
            </w:pPr>
            <w:r>
              <w:t xml:space="preserve">LinkedIn, Google Ads focused on NYC data professionals</w:t>
            </w:r>
          </w:p>
        </w:tc>
      </w:tr>
      <w:tr>
        <w:tc>
          <w:tcPr/>
          <w:p>
            <w:pPr>
              <w:pStyle w:val="Compact"/>
              <w:jc w:val="left"/>
            </w:pPr>
            <w:r>
              <w:t xml:space="preserve">Content Marketing</w:t>
            </w:r>
          </w:p>
        </w:tc>
        <w:tc>
          <w:tcPr/>
          <w:p>
            <w:pPr>
              <w:pStyle w:val="Compact"/>
              <w:jc w:val="left"/>
            </w:pPr>
            <w:r>
              <w:t xml:space="preserve">$240,000 (20%)</w:t>
            </w:r>
          </w:p>
        </w:tc>
        <w:tc>
          <w:tcPr/>
          <w:p>
            <w:pPr>
              <w:pStyle w:val="Compact"/>
              <w:jc w:val="left"/>
            </w:pPr>
            <w:r>
              <w:t xml:space="preserve">NYC case studies, whitepapers on Wall Street compliance</w:t>
            </w:r>
          </w:p>
        </w:tc>
      </w:tr>
      <w:tr>
        <w:tc>
          <w:tcPr/>
          <w:p>
            <w:pPr>
              <w:pStyle w:val="Compact"/>
              <w:jc w:val="left"/>
            </w:pPr>
            <w:r>
              <w:t xml:space="preserve">Sales Enablement (NYC Team)</w:t>
            </w:r>
          </w:p>
        </w:tc>
        <w:tc>
          <w:tcPr/>
          <w:p>
            <w:pPr>
              <w:pStyle w:val="Compact"/>
              <w:jc w:val="left"/>
            </w:pPr>
            <w:r>
              <w:t xml:space="preserve">$160,000 (13%)</w:t>
            </w:r>
          </w:p>
        </w:tc>
        <w:tc>
          <w:tcPr/>
          <w:p>
            <w:pPr>
              <w:pStyle w:val="Compact"/>
              <w:jc w:val="left"/>
            </w:pPr>
            <w:r>
              <w:t xml:space="preserve">Local sales team training, competitive battle cards for NYC enterprises</w:t>
            </w:r>
          </w:p>
        </w:tc>
      </w:tr>
    </w:tbl>
    <w:bookmarkEnd w:id="25"/>
    <w:bookmarkStart w:id="26" w:name="tactical-timeline"/>
    <w:p>
      <w:pPr>
        <w:pStyle w:val="Heading2"/>
      </w:pPr>
      <w:r>
        <w:t xml:space="preserve">Tactical Timeline</w:t>
      </w:r>
    </w:p>
    <w:p>
      <w:pPr>
        <w:pStyle w:val="FirstParagraph"/>
      </w:pPr>
      <w:r>
        <w:rPr>
          <w:bCs/>
          <w:b/>
        </w:rPr>
        <w:t xml:space="preserve">Months 1-3:</w:t>
      </w:r>
      <w:r>
        <w:t xml:space="preserve"> </w:t>
      </w:r>
      <w:r>
        <w:t xml:space="preserve">Launch NYC community hub with first "Airflow Office Hours" at Hudson Yards. Secure 5 pilot enterprise partnerships (including two Fortune 500 financial firms).</w:t>
      </w:r>
    </w:p>
    <w:p>
      <w:pPr>
        <w:pStyle w:val="BodyText"/>
      </w:pPr>
      <w:r>
        <w:rPr>
          <w:bCs/>
          <w:b/>
        </w:rPr>
        <w:t xml:space="preserve">Months 4-6:</w:t>
      </w:r>
      <w:r>
        <w:t xml:space="preserve"> </w:t>
      </w:r>
      <w:r>
        <w:t xml:space="preserve">Host inaugural New York City Data Orchestration Summit. Publish "NYC Enterprise Data Report" showing cost savings from Astronomer adoption.</w:t>
      </w:r>
    </w:p>
    <w:p>
      <w:pPr>
        <w:pStyle w:val="BodyText"/>
      </w:pPr>
      <w:r>
        <w:rPr>
          <w:bCs/>
          <w:b/>
        </w:rPr>
        <w:t xml:space="preserve">Months 7-12:</w:t>
      </w:r>
      <w:r>
        <w:t xml:space="preserve"> </w:t>
      </w:r>
      <w:r>
        <w:t xml:space="preserve">Roll out NYC Compliance Package. Achieve 50% lead conversion rate for local enterprise trials.</w:t>
      </w:r>
    </w:p>
    <w:p>
      <w:pPr>
        <w:pStyle w:val="BodyText"/>
      </w:pPr>
      <w:r>
        <w:rPr>
          <w:bCs/>
          <w:b/>
        </w:rPr>
        <w:t xml:space="preserve">Months 13-18:</w:t>
      </w:r>
      <w:r>
        <w:t xml:space="preserve"> </w:t>
      </w:r>
      <w:r>
        <w:t xml:space="preserve">Expand to Brooklyn Tech Corridor partnerships. Target 20% market share in NYC’s $48M data orchestration market.</w:t>
      </w:r>
    </w:p>
    <w:bookmarkEnd w:id="26"/>
    <w:bookmarkStart w:id="27" w:name="kpis-measurement"/>
    <w:p>
      <w:pPr>
        <w:pStyle w:val="Heading2"/>
      </w:pPr>
      <w:r>
        <w:t xml:space="preserve">KPIs &amp; Measurement</w:t>
      </w:r>
    </w:p>
    <w:p>
      <w:pPr>
        <w:numPr>
          <w:ilvl w:val="0"/>
          <w:numId w:val="1002"/>
        </w:numPr>
        <w:pStyle w:val="Compact"/>
      </w:pPr>
      <w:r>
        <w:rPr>
          <w:iCs/>
          <w:i/>
        </w:rPr>
        <w:t xml:space="preserve">NYC Brand Awareness:</w:t>
      </w:r>
      <w:r>
        <w:t xml:space="preserve"> </w:t>
      </w:r>
      <w:r>
        <w:t xml:space="preserve">Track via SurveyMonkey brand recall surveys (target: 75% by Month 18)</w:t>
      </w:r>
    </w:p>
    <w:p>
      <w:pPr>
        <w:numPr>
          <w:ilvl w:val="0"/>
          <w:numId w:val="1002"/>
        </w:numPr>
        <w:pStyle w:val="Compact"/>
      </w:pPr>
      <w:r>
        <w:rPr>
          <w:iCs/>
          <w:i/>
        </w:rPr>
        <w:t xml:space="preserve">Lead Quality:</w:t>
      </w:r>
      <w:r>
        <w:t xml:space="preserve"> </w:t>
      </w:r>
      <w:r>
        <w:t xml:space="preserve">Measure NYC lead-to-trial rate (target: 35%)</w:t>
      </w:r>
    </w:p>
    <w:p>
      <w:pPr>
        <w:numPr>
          <w:ilvl w:val="0"/>
          <w:numId w:val="1002"/>
        </w:numPr>
        <w:pStyle w:val="Compact"/>
      </w:pPr>
      <w:r>
        <w:rPr>
          <w:iCs/>
          <w:i/>
        </w:rPr>
        <w:t xml:space="preserve">Customer Acquisition Cost (CAC):</w:t>
      </w:r>
      <w:r>
        <w:t xml:space="preserve"> </w:t>
      </w:r>
      <w:r>
        <w:t xml:space="preserve">Target &lt;$28K per NYC enterprise customer</w:t>
      </w:r>
    </w:p>
    <w:p>
      <w:pPr>
        <w:numPr>
          <w:ilvl w:val="0"/>
          <w:numId w:val="1002"/>
        </w:numPr>
        <w:pStyle w:val="Compact"/>
      </w:pPr>
      <w:r>
        <w:rPr>
          <w:iCs/>
          <w:i/>
        </w:rPr>
        <w:t xml:space="preserve">NYC Market Share:</w:t>
      </w:r>
      <w:r>
        <w:t xml:space="preserve"> </w:t>
      </w:r>
      <w:r>
        <w:t xml:space="preserve">Monitor via Gartner data market share reports in New York City region</w:t>
      </w:r>
    </w:p>
    <w:bookmarkEnd w:id="27"/>
    <w:bookmarkStart w:id="28" w:name="X5aa57a209a23a97c6f84fb51bc7bde37b71f620"/>
    <w:p>
      <w:pPr>
        <w:pStyle w:val="Heading2"/>
      </w:pPr>
      <w:r>
        <w:t xml:space="preserve">The Astronomer Advantage: Why New York City Needs Us Now</w:t>
      </w:r>
    </w:p>
    <w:p>
      <w:pPr>
        <w:pStyle w:val="FirstParagraph"/>
      </w:pPr>
      <w:r>
        <w:t xml:space="preserve">In the high-stakes environment of United States New York City, where every minute of data pipeline downtime costs financial institutions $1M+, Astronomer delivers more than a product – it delivers operational confidence. Our platform eliminates the 30+ hours weekly data engineers waste on Airflow debugging in NYC’s complex cloud environments. By embedding our solution directly into New York City’s enterprise fabric through community, compliance, and localized expertise, we don’t just sell software – we become the nervous system of NYC’s data-driven economy.</w:t>
      </w:r>
    </w:p>
    <w:p>
      <w:pPr>
        <w:pStyle w:val="BodyText"/>
      </w:pPr>
      <w:r>
        <w:t xml:space="preserve">With this Marketing Plan executed precisely for United States New York City markets, Astronomer will achieve its mission: to make data orchestration effortless for every enterprise in the world’s most demanding data hub. This isn’t just a go-to-market strategy – it’s how we define the future of data engineering in New York City and beyond.</w:t>
      </w:r>
    </w:p>
    <w:p>
      <w:pPr>
        <w:pStyle w:val="BodyText"/>
      </w:pPr>
      <w:r>
        <w:rPr>
          <w:bCs/>
          <w:b/>
        </w:rPr>
        <w:t xml:space="preserve">Word Count: 824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United States New York City</dc:title>
  <dc:creator/>
  <dc:language>en</dc:language>
  <cp:keywords/>
  <dcterms:created xsi:type="dcterms:W3CDTF">2026-07-25T08:03:37Z</dcterms:created>
  <dcterms:modified xsi:type="dcterms:W3CDTF">2026-07-25T08:03:37Z</dcterms:modified>
</cp:coreProperties>
</file>

<file path=docProps/custom.xml><?xml version="1.0" encoding="utf-8"?>
<Properties xmlns="http://schemas.openxmlformats.org/officeDocument/2006/custom-properties" xmlns:vt="http://schemas.openxmlformats.org/officeDocument/2006/docPropsVTypes"/>
</file>