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Belgium</w:t>
      </w:r>
      <w:r>
        <w:t xml:space="preserve"> </w:t>
      </w:r>
      <w:r>
        <w:t xml:space="preserve">Brussels</w:t>
      </w:r>
    </w:p>
    <w:bookmarkStart w:id="35" w:name="Xf1dad34cd6ad4fd0ab9633e841283b0d4a281f4"/>
    <w:p>
      <w:pPr>
        <w:pStyle w:val="Heading1"/>
      </w:pPr>
      <w:r>
        <w:t xml:space="preserve">Strategic Marketing Plan for Global Audit Solutions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establish our premium Auditor services as the preferred choice for businesses operating within Belgium Brussels. With Brussels serving as the de facto capital of the European Union and hosting over 40% of EU institutions, we recognize an acute need for specialized audit solutions that navigate complex regulatory landscapes. Our plan focuses on delivering unparalleled audit excellence tailored to Belgian tax laws, EU compliance frameworks, and multinational business operations in this pivotal hub. By leveraging our expertise in international auditing standards (ISA), we project capturing 15% market share among mid-sized enterprises in Brussels within three years while building long-term client relationships through data-driven assurance services.</w:t>
      </w:r>
    </w:p>
    <w:bookmarkEnd w:id="20"/>
    <w:bookmarkStart w:id="21" w:name="market-analysis-belgium-brussels-context"/>
    <w:p>
      <w:pPr>
        <w:pStyle w:val="Heading2"/>
      </w:pPr>
      <w:r>
        <w:t xml:space="preserve">Market Analysis: Belgium Brussels Context</w:t>
      </w:r>
    </w:p>
    <w:p>
      <w:pPr>
        <w:pStyle w:val="FirstParagraph"/>
      </w:pPr>
      <w:r>
        <w:t xml:space="preserve">The Belgium Brussels audit market is characterized by high regulatory complexity, with businesses facing dual compliance demands under Belgian law and EU directives. Recent data shows 68% of Brussels-based companies face audit-related challenges due to evolving GDPR requirements and EU Taxonomy regulations. The European Court of Auditors' 2023 report highlights a 34% increase in audit disputes within the Benelux region, creating significant opportunity for specialized Auditor services. Key market drivers include:</w:t>
      </w:r>
    </w:p>
    <w:p>
      <w:pPr>
        <w:numPr>
          <w:ilvl w:val="0"/>
          <w:numId w:val="1001"/>
        </w:numPr>
        <w:pStyle w:val="Compact"/>
      </w:pPr>
      <w:r>
        <w:rPr>
          <w:bCs/>
          <w:b/>
        </w:rPr>
        <w:t xml:space="preserve">EU Regulatory Pressure:</w:t>
      </w:r>
      <w:r>
        <w:t xml:space="preserve"> </w:t>
      </w:r>
      <w:r>
        <w:t xml:space="preserve">Brussels-based entities require seamless compliance with EU directives (e.g., CSRD, DAC7)</w:t>
      </w:r>
    </w:p>
    <w:p>
      <w:pPr>
        <w:numPr>
          <w:ilvl w:val="0"/>
          <w:numId w:val="1001"/>
        </w:numPr>
        <w:pStyle w:val="Compact"/>
      </w:pPr>
      <w:r>
        <w:rPr>
          <w:bCs/>
          <w:b/>
        </w:rPr>
        <w:t xml:space="preserve">Tax Complexity:</w:t>
      </w:r>
      <w:r>
        <w:t xml:space="preserve"> </w:t>
      </w:r>
      <w:r>
        <w:t xml:space="preserve">Belgium's intricate corporate tax system demands local audit expertise</w:t>
      </w:r>
    </w:p>
    <w:p>
      <w:pPr>
        <w:numPr>
          <w:ilvl w:val="0"/>
          <w:numId w:val="1001"/>
        </w:numPr>
        <w:pStyle w:val="Compact"/>
      </w:pPr>
      <w:r>
        <w:rPr>
          <w:bCs/>
          <w:b/>
        </w:rPr>
        <w:t xml:space="preserve">Multinational Presence:</w:t>
      </w:r>
      <w:r>
        <w:t xml:space="preserve"> </w:t>
      </w:r>
      <w:r>
        <w:t xml:space="preserve">54% of Fortune 500 companies maintain European HQs in Brussels requiring integrated audit services</w:t>
      </w:r>
    </w:p>
    <w:p>
      <w:pPr>
        <w:pStyle w:val="FirstParagraph"/>
      </w:pPr>
      <w:r>
        <w:t xml:space="preserve">We've identified a gap in the market for auditors offering proactive risk mitigation rather than reactive compliance, which aligns with our value proposition.</w:t>
      </w:r>
    </w:p>
    <w:bookmarkEnd w:id="21"/>
    <w:bookmarkStart w:id="25" w:name="target-audience-segmentation"/>
    <w:p>
      <w:pPr>
        <w:pStyle w:val="Heading2"/>
      </w:pPr>
      <w:r>
        <w:t xml:space="preserve">Target Audience Segmentation</w:t>
      </w:r>
    </w:p>
    <w:p>
      <w:pPr>
        <w:pStyle w:val="FirstParagraph"/>
      </w:pPr>
      <w:r>
        <w:t xml:space="preserve">Our primary target comprises three high-potential segments within Belgium Brussels:</w:t>
      </w:r>
    </w:p>
    <w:bookmarkStart w:id="22" w:name="eu-institution-subcontractors"/>
    <w:p>
      <w:pPr>
        <w:pStyle w:val="Heading3"/>
      </w:pPr>
      <w:r>
        <w:t xml:space="preserve">1. EU Institution Subcontractors</w:t>
      </w:r>
    </w:p>
    <w:p>
      <w:pPr>
        <w:pStyle w:val="FirstParagraph"/>
      </w:pPr>
      <w:r>
        <w:t xml:space="preserve">Companies supplying goods/services to EU bodies requiring strict adherence to financial transparency standards. These clients prioritize auditors with verified EU compliance credentials and experience in public procurement audits.</w:t>
      </w:r>
    </w:p>
    <w:bookmarkEnd w:id="22"/>
    <w:bookmarkStart w:id="23" w:name="belgian-multinationals"/>
    <w:p>
      <w:pPr>
        <w:pStyle w:val="Heading3"/>
      </w:pPr>
      <w:r>
        <w:t xml:space="preserve">2. Belgian Multinationals</w:t>
      </w:r>
    </w:p>
    <w:p>
      <w:pPr>
        <w:pStyle w:val="FirstParagraph"/>
      </w:pPr>
      <w:r>
        <w:t xml:space="preserve">Mid-market enterprises (€10M-€500M revenue) operating across Benelux with complex tax structures. They require integrated audit services addressing both Belgian fiscal law and international reporting standards.</w:t>
      </w:r>
    </w:p>
    <w:bookmarkEnd w:id="23"/>
    <w:bookmarkStart w:id="24" w:name="Xad660f88b5a6f4c66b938b27a608c5041884d9c"/>
    <w:p>
      <w:pPr>
        <w:pStyle w:val="Heading3"/>
      </w:pPr>
      <w:r>
        <w:t xml:space="preserve">3. Startup Scale-Ups in Brussels Tech Ecosystem</w:t>
      </w:r>
    </w:p>
    <w:p>
      <w:pPr>
        <w:pStyle w:val="FirstParagraph"/>
      </w:pPr>
      <w:r>
        <w:t xml:space="preserve">Fast-growing technology firms seeking efficient, cost-effective audit solutions that accommodate rapid expansion while maintaining investor confidence. This segment values digital audit tools and agile service delivery.</w:t>
      </w:r>
    </w:p>
    <w:bookmarkEnd w:id="24"/>
    <w:bookmarkEnd w:id="25"/>
    <w:bookmarkStart w:id="26"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w:t>
      </w:r>
      <w:r>
        <w:t xml:space="preserve">Acquire 45 new clients in Belgium Brussels within Year 1, achieving €3.2M in audit service revenue</w:t>
      </w:r>
    </w:p>
    <w:p>
      <w:pPr>
        <w:numPr>
          <w:ilvl w:val="0"/>
          <w:numId w:val="1002"/>
        </w:numPr>
        <w:pStyle w:val="Compact"/>
      </w:pPr>
      <w:r>
        <w:rPr>
          <w:bCs/>
          <w:b/>
        </w:rPr>
        <w:t xml:space="preserve">Brand Positioning:</w:t>
      </w:r>
      <w:r>
        <w:t xml:space="preserve"> </w:t>
      </w:r>
      <w:r>
        <w:t xml:space="preserve">Establish our Auditor brand as "The EU-Compliance Specialist" through consistent thought leadership</w:t>
      </w:r>
    </w:p>
    <w:p>
      <w:pPr>
        <w:numPr>
          <w:ilvl w:val="0"/>
          <w:numId w:val="1002"/>
        </w:numPr>
        <w:pStyle w:val="Compact"/>
      </w:pPr>
      <w:r>
        <w:rPr>
          <w:bCs/>
          <w:b/>
        </w:rPr>
        <w:t xml:space="preserve">Cross-Sell Rate:</w:t>
      </w:r>
      <w:r>
        <w:t xml:space="preserve"> </w:t>
      </w:r>
      <w:r>
        <w:t xml:space="preserve">Achieve 65% expansion of services to existing clients through value-added audit insights</w:t>
      </w:r>
    </w:p>
    <w:p>
      <w:pPr>
        <w:numPr>
          <w:ilvl w:val="0"/>
          <w:numId w:val="1002"/>
        </w:numPr>
        <w:pStyle w:val="Compact"/>
      </w:pPr>
      <w:r>
        <w:rPr>
          <w:bCs/>
          <w:b/>
        </w:rPr>
        <w:t xml:space="preserve">Client Retention:</w:t>
      </w:r>
      <w:r>
        <w:t xml:space="preserve"> </w:t>
      </w:r>
      <w:r>
        <w:t xml:space="preserve">Maintain 92% client retention rate through proactive risk advisory services</w:t>
      </w:r>
    </w:p>
    <w:bookmarkEnd w:id="26"/>
    <w:bookmarkStart w:id="30" w:name="strategic-marketing-tactics"/>
    <w:p>
      <w:pPr>
        <w:pStyle w:val="Heading2"/>
      </w:pPr>
      <w:r>
        <w:t xml:space="preserve">Strategic Marketing Tactics</w:t>
      </w:r>
    </w:p>
    <w:bookmarkStart w:id="27" w:name="Xd54398076cda7dd5bd215ee339eb46fc59c7511"/>
    <w:p>
      <w:pPr>
        <w:pStyle w:val="Heading3"/>
      </w:pPr>
      <w:r>
        <w:t xml:space="preserve">A. Localized Content &amp; Thought Leadership (Belgium Brussels Focus)</w:t>
      </w:r>
    </w:p>
    <w:p>
      <w:pPr>
        <w:pStyle w:val="FirstParagraph"/>
      </w:pPr>
      <w:r>
        <w:t xml:space="preserve">We'll launch "Brussels Audit Insights" – a bi-monthly digital publication analyzing regulatory changes affecting Brussels businesses. This will include:</w:t>
      </w:r>
    </w:p>
    <w:p>
      <w:pPr>
        <w:numPr>
          <w:ilvl w:val="0"/>
          <w:numId w:val="1003"/>
        </w:numPr>
        <w:pStyle w:val="Compact"/>
      </w:pPr>
      <w:r>
        <w:t xml:space="preserve">Monthly deep dives on Belgian tax code updates (e.g., 2024 Corporate Tax Reform)</w:t>
      </w:r>
    </w:p>
    <w:p>
      <w:pPr>
        <w:numPr>
          <w:ilvl w:val="0"/>
          <w:numId w:val="1003"/>
        </w:numPr>
        <w:pStyle w:val="Compact"/>
      </w:pPr>
      <w:r>
        <w:t xml:space="preserve">Case studies featuring successful audits of EU-registered entities in Brussels</w:t>
      </w:r>
    </w:p>
    <w:p>
      <w:pPr>
        <w:numPr>
          <w:ilvl w:val="0"/>
          <w:numId w:val="1003"/>
        </w:numPr>
        <w:pStyle w:val="Compact"/>
      </w:pPr>
      <w:r>
        <w:t xml:space="preserve">Webinars with Belgian tax authorities (in collaboration with FISCALIS Belgium)</w:t>
      </w:r>
    </w:p>
    <w:p>
      <w:pPr>
        <w:pStyle w:val="FirstParagraph"/>
      </w:pPr>
      <w:r>
        <w:t xml:space="preserve">*This strategy builds credibility by demonstrating hyperlocal expertise essential for any reputable Auditor operating in Brussels.*</w:t>
      </w:r>
    </w:p>
    <w:bookmarkEnd w:id="27"/>
    <w:bookmarkStart w:id="28" w:name="X799c6eddc48dd3abb24bc5125629297cd1a708c"/>
    <w:p>
      <w:pPr>
        <w:pStyle w:val="Heading3"/>
      </w:pPr>
      <w:r>
        <w:t xml:space="preserve">B. Strategic Partnerships (Brussels Ecosystem Integration)</w:t>
      </w:r>
    </w:p>
    <w:p>
      <w:pPr>
        <w:pStyle w:val="FirstParagraph"/>
      </w:pPr>
      <w:r>
        <w:t xml:space="preserve">Key partnerships will include:</w:t>
      </w:r>
    </w:p>
    <w:p>
      <w:pPr>
        <w:numPr>
          <w:ilvl w:val="0"/>
          <w:numId w:val="1004"/>
        </w:numPr>
        <w:pStyle w:val="Compact"/>
      </w:pPr>
      <w:r>
        <w:rPr>
          <w:bCs/>
          <w:b/>
        </w:rPr>
        <w:t xml:space="preserve">Brussels Chamber of Commerce:</w:t>
      </w:r>
      <w:r>
        <w:t xml:space="preserve"> </w:t>
      </w:r>
      <w:r>
        <w:t xml:space="preserve">Co-hosting "EU Compliance Workshops" with access to 2,800 member businesses</w:t>
      </w:r>
    </w:p>
    <w:p>
      <w:pPr>
        <w:numPr>
          <w:ilvl w:val="0"/>
          <w:numId w:val="1004"/>
        </w:numPr>
        <w:pStyle w:val="Compact"/>
      </w:pPr>
      <w:r>
        <w:rPr>
          <w:bCs/>
          <w:b/>
        </w:rPr>
        <w:t xml:space="preserve">KPMG Brussels &amp; Deloitte Benelux:</w:t>
      </w:r>
      <w:r>
        <w:t xml:space="preserve"> </w:t>
      </w:r>
      <w:r>
        <w:t xml:space="preserve">Non-competitive referral partnerships for cross-border audit needs</w:t>
      </w:r>
    </w:p>
    <w:p>
      <w:pPr>
        <w:numPr>
          <w:ilvl w:val="0"/>
          <w:numId w:val="1004"/>
        </w:numPr>
        <w:pStyle w:val="Compact"/>
      </w:pPr>
      <w:r>
        <w:rPr>
          <w:bCs/>
          <w:b/>
        </w:rPr>
        <w:t xml:space="preserve">Startup Incubators (e.g., Station F Brussels):</w:t>
      </w:r>
      <w:r>
        <w:t xml:space="preserve"> </w:t>
      </w:r>
      <w:r>
        <w:t xml:space="preserve">Free "Audit Health Checks" for portfolio companies</w:t>
      </w:r>
    </w:p>
    <w:p>
      <w:pPr>
        <w:pStyle w:val="FirstParagraph"/>
      </w:pPr>
      <w:r>
        <w:t xml:space="preserve">*These alliances position us as embedded within the Brussels business ecosystem – a critical differentiator for any Auditor seeking trust in this market.*</w:t>
      </w:r>
    </w:p>
    <w:bookmarkEnd w:id="28"/>
    <w:bookmarkStart w:id="29" w:name="Xbbbabeaa66e9a07a5e639ee21427eb9b2eeb5ef"/>
    <w:p>
      <w:pPr>
        <w:pStyle w:val="Heading3"/>
      </w:pPr>
      <w:r>
        <w:t xml:space="preserve">C. Digital Marketing Precision Targeting (Belgium Focus)</w:t>
      </w:r>
    </w:p>
    <w:p>
      <w:pPr>
        <w:pStyle w:val="FirstParagraph"/>
      </w:pPr>
      <w:r>
        <w:t xml:space="preserve">Using LinkedIn Sales Navigator with Belgium-specific filters, we'll target:</w:t>
      </w:r>
    </w:p>
    <w:p>
      <w:pPr>
        <w:numPr>
          <w:ilvl w:val="0"/>
          <w:numId w:val="1005"/>
        </w:numPr>
        <w:pStyle w:val="Compact"/>
      </w:pPr>
      <w:r>
        <w:t xml:space="preserve">Finance Directors at companies with &gt;250 employees in Brussels</w:t>
      </w:r>
    </w:p>
    <w:p>
      <w:pPr>
        <w:numPr>
          <w:ilvl w:val="0"/>
          <w:numId w:val="1005"/>
        </w:numPr>
        <w:pStyle w:val="Compact"/>
      </w:pPr>
      <w:r>
        <w:t xml:space="preserve">Business Owners of companies registered under Belgian legal code (BVBA/SPRL)</w:t>
      </w:r>
    </w:p>
    <w:p>
      <w:pPr>
        <w:numPr>
          <w:ilvl w:val="0"/>
          <w:numId w:val="1005"/>
        </w:numPr>
        <w:pStyle w:val="Compact"/>
      </w:pPr>
      <w:r>
        <w:t xml:space="preserve">Keywords: "EU audit compliance Brussels", "Belgian tax audit specialist", "multinational audit services"</w:t>
      </w:r>
    </w:p>
    <w:p>
      <w:pPr>
        <w:pStyle w:val="FirstParagraph"/>
      </w:pPr>
      <w:r>
        <w:t xml:space="preserve">*Our digital campaigns will feature content in Dutch/French to resonate with Belgium's linguistic duality – a must for any effective Auditor marketing.*</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(Brussels-Specific)</w:t>
      </w:r>
    </w:p>
    <w:p>
      <w:pPr>
        <w:pStyle w:val="BodyText"/>
      </w:pPr>
      <w:r>
        <w:t xml:space="preserve">32%</w:t>
      </w:r>
    </w:p>
    <w:p>
      <w:pPr>
        <w:pStyle w:val="BodyText"/>
      </w:pPr>
      <w:r>
        <w:t xml:space="preserve">Demonstrates market expertise; 85% of target clients consume localized content</w:t>
      </w:r>
    </w:p>
    <w:p>
      <w:pPr>
        <w:pStyle w:val="BodyText"/>
      </w:pPr>
      <w:r>
        <w:t xml:space="preserve">Partnership Development</w:t>
      </w:r>
    </w:p>
    <w:p>
      <w:pPr>
        <w:pStyle w:val="BodyText"/>
      </w:pPr>
      <w:r>
        <w:t xml:space="preserve">28%</w:t>
      </w:r>
    </w:p>
    <w:p>
      <w:pPr>
        <w:pStyle w:val="BodyText"/>
      </w:pPr>
      <w:r>
        <w:t xml:space="preserve">&lt;</w:t>
      </w:r>
    </w:p>
    <w:p>
      <w:pPr>
        <w:pStyle w:val="BodyText"/>
      </w:pPr>
      <w:r>
        <w:t xml:space="preserve">Leverages Brussels business network for qualified leads</w:t>
      </w:r>
    </w:p>
    <w:p>
      <w:pPr>
        <w:pStyle w:val="BodyText"/>
      </w:pPr>
      <w:r>
        <w:t xml:space="preserve">Digital Advertising (Belgium-Focused)</w:t>
      </w:r>
    </w:p>
    <w:p>
      <w:pPr>
        <w:pStyle w:val="BodyText"/>
      </w:pPr>
      <w:r>
        <w:t xml:space="preserve">20%</w:t>
      </w:r>
    </w:p>
    <w:p>
      <w:pPr>
        <w:pStyle w:val="BodyText"/>
      </w:pPr>
      <w:r>
        <w:t xml:space="preserve">Better ROI than generic campaigns; targets precise audience segments</w:t>
      </w:r>
    </w:p>
    <w:p>
      <w:pPr>
        <w:pStyle w:val="BodyText"/>
      </w:pPr>
      <w:r>
        <w:t xml:space="preserve">Event Sponsorship (Brussels Business Events)</w:t>
      </w:r>
    </w:p>
    <w:p>
      <w:pPr>
        <w:pStyle w:val="BodyText"/>
      </w:pPr>
      <w:r>
        <w:t xml:space="preserve">15%</w:t>
      </w:r>
    </w:p>
    <w:p>
      <w:pPr>
        <w:pStyle w:val="BodyText"/>
      </w:pPr>
      <w:r>
        <w:t xml:space="preserve">Leverages high-profile EU events like Brussels Digital Summit</w:t>
      </w:r>
    </w:p>
    <w:p>
      <w:pPr>
        <w:pStyle w:val="BodyText"/>
      </w:pPr>
      <w:r>
        <w:t xml:space="preserve">Client Onboarding &amp; Retention</w:t>
      </w:r>
    </w:p>
    <w:p>
      <w:pPr>
        <w:pStyle w:val="BodyText"/>
      </w:pPr>
      <w:r>
        <w:t xml:space="preserve">5%</w:t>
      </w:r>
    </w:p>
    <w:p>
      <w:pPr>
        <w:pStyle w:val="BodyText"/>
      </w:pPr>
      <w:r>
        <w:t xml:space="preserve">Reduces churn in competitive audit market</w:t>
      </w:r>
    </w:p>
    <w:bookmarkEnd w:id="31"/>
    <w:bookmarkStart w:id="32"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Launch Brussels Audit Insights publication; Secure Chamber of Commerce partnership</w:t>
      </w:r>
    </w:p>
    <w:p>
      <w:pPr>
        <w:numPr>
          <w:ilvl w:val="0"/>
          <w:numId w:val="1006"/>
        </w:numPr>
        <w:pStyle w:val="Compact"/>
      </w:pPr>
      <w:r>
        <w:rPr>
          <w:bCs/>
          <w:b/>
        </w:rPr>
        <w:t xml:space="preserve">Q2:</w:t>
      </w:r>
      <w:r>
        <w:t xml:space="preserve"> </w:t>
      </w:r>
      <w:r>
        <w:t xml:space="preserve">Deploy Belgium-targeted digital campaigns; Host first EU Compliance Workshop in Brussels</w:t>
      </w:r>
    </w:p>
    <w:p>
      <w:pPr>
        <w:numPr>
          <w:ilvl w:val="0"/>
          <w:numId w:val="1006"/>
        </w:numPr>
        <w:pStyle w:val="Compact"/>
      </w:pPr>
      <w:r>
        <w:rPr>
          <w:bCs/>
          <w:b/>
        </w:rPr>
        <w:t xml:space="preserve">Q3:</w:t>
      </w:r>
      <w:r>
        <w:t xml:space="preserve"> </w:t>
      </w:r>
      <w:r>
        <w:t xml:space="preserve">Onboard 15 strategic clients through startup incubator partnerships</w:t>
      </w:r>
    </w:p>
    <w:p>
      <w:pPr>
        <w:numPr>
          <w:ilvl w:val="0"/>
          <w:numId w:val="1006"/>
        </w:numPr>
        <w:pStyle w:val="Compact"/>
      </w:pPr>
      <w:r>
        <w:rPr>
          <w:bCs/>
          <w:b/>
        </w:rPr>
        <w:t xml:space="preserve">Q4:</w:t>
      </w:r>
      <w:r>
        <w:t xml:space="preserve"> </w:t>
      </w:r>
      <w:r>
        <w:t xml:space="preserve">Achieve 70% client retention; Publish Year 1 regulatory impact report for Belgian market</w:t>
      </w:r>
    </w:p>
    <w:bookmarkEnd w:id="32"/>
    <w:bookmarkStart w:id="33" w:name="evaluation-key-performance-indicators"/>
    <w:p>
      <w:pPr>
        <w:pStyle w:val="Heading2"/>
      </w:pPr>
      <w:r>
        <w:t xml:space="preserve">Evaluation &amp; Key Performance Indicators</w:t>
      </w:r>
    </w:p>
    <w:p>
      <w:pPr>
        <w:pStyle w:val="FirstParagraph"/>
      </w:pPr>
      <w:r>
        <w:t xml:space="preserve">We'll measure success through both quantitative and qualitative metrics specifically relevant to the Belgium Brussels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(Belgium Brussels)</w:t>
      </w:r>
    </w:p>
    <w:p>
      <w:pPr>
        <w:pStyle w:val="BodyText"/>
      </w:pPr>
      <w:r>
        <w:t xml:space="preserve">45</w:t>
      </w:r>
    </w:p>
    <w:p>
      <w:pPr>
        <w:pStyle w:val="BodyText"/>
      </w:pPr>
      <w:r>
        <w:t xml:space="preserve">Clients signing contracts with Brussels business addresses</w:t>
      </w:r>
    </w:p>
    <w:p>
      <w:pPr>
        <w:pStyle w:val="BodyText"/>
      </w:pPr>
      <w:r>
        <w:t xml:space="preserve">Client Satisfaction (NPS)</w:t>
      </w:r>
    </w:p>
    <w:p>
      <w:pPr>
        <w:pStyle w:val="BodyText"/>
      </w:pPr>
      <w:r>
        <w:t xml:space="preserve">72+</w:t>
      </w:r>
    </w:p>
    <w:p>
      <w:pPr>
        <w:pStyle w:val="BodyText"/>
      </w:pPr>
      <w:r>
        <w:t xml:space="preserve">NPS survey post-audit engagement</w:t>
      </w:r>
    </w:p>
    <w:p>
      <w:pPr>
        <w:pStyle w:val="BodyText"/>
      </w:pPr>
      <w:r>
        <w:t xml:space="preserve">Market Share Growth Rate4.5% pointst</w:t>
      </w:r>
    </w:p>
    <w:p>
      <w:pPr>
        <w:pStyle w:val="BodyText"/>
      </w:pPr>
      <w:r>
        <w:t xml:space="preserve">Content Engagement (Brussels-specific)</w:t>
      </w:r>
    </w:p>
    <w:p>
      <w:pPr>
        <w:pStyle w:val="BodyText"/>
      </w:pPr>
      <w:r>
        <w:t xml:space="preserve">65% open ratet</w:t>
      </w:r>
    </w:p>
    <w:bookmarkEnd w:id="33"/>
    <w:bookmarkStart w:id="34" w:name="Xb6b9182041d6bec1a8015516c9b62965fe07632"/>
    <w:p>
      <w:pPr>
        <w:pStyle w:val="Heading2"/>
      </w:pPr>
      <w:r>
        <w:t xml:space="preserve">Conclusion: Why This Plan Wins in Belgium Brussels</w:t>
      </w:r>
    </w:p>
    <w:p>
      <w:pPr>
        <w:pStyle w:val="FirstParagraph"/>
      </w:pPr>
      <w:r>
        <w:t xml:space="preserve">This Marketing Plan transcends generic auditing promotion by embedding our Auditor service within the unique fabric of Belgium Brussels. We've moved beyond simply selling audit services to becoming trusted partners in navigating one of Europe's most complex regulatory environments. By prioritizing hyperlocal expertise, strategic ecosystem integration, and measurable compliance outcomes – all delivered through a Belgian market-first lens – this plan positions us to become the Auditor of choice for businesses that demand more than just an audit: they require assurance that their financial operations thrive within the Brussels EU landscape. Our success will be measured not merely in revenue, but in reducing audit-related stress for Belgian enterprises and demonstrating how specialized Auditor services directly contribute to sustainable business growth in this critical European capital.</w:t>
      </w:r>
    </w:p>
    <w:p>
      <w:pPr>
        <w:pStyle w:val="BodyText"/>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Belgium Brussels</dc:title>
  <dc:creator/>
  <dc:language>en</dc:language>
  <cp:keywords/>
  <dcterms:created xsi:type="dcterms:W3CDTF">2026-07-22T22:07:38Z</dcterms:created>
  <dcterms:modified xsi:type="dcterms:W3CDTF">2026-07-22T22:07:38Z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