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Beijing,</w:t>
      </w:r>
      <w:r>
        <w:t xml:space="preserve"> </w:t>
      </w:r>
      <w:r>
        <w:t xml:space="preserve">China</w:t>
      </w:r>
    </w:p>
    <w:bookmarkStart w:id="33" w:name="X6f8a4e69ff1ce6c0b2e9eb5e5b1c45a330986df"/>
    <w:p>
      <w:pPr>
        <w:pStyle w:val="Heading1"/>
      </w:pPr>
      <w:r>
        <w:t xml:space="preserve">Comprehensive Marketing Plan: Professional Auditor Services for the Beijing Market, China</w:t>
      </w:r>
    </w:p>
    <w:bookmarkStart w:id="20" w:name="executive-summary"/>
    <w:p>
      <w:pPr>
        <w:pStyle w:val="Heading2"/>
      </w:pPr>
      <w:r>
        <w:t xml:space="preserve">Executive Summary</w:t>
      </w:r>
    </w:p>
    <w:p>
      <w:pPr>
        <w:pStyle w:val="FirstParagraph"/>
      </w:pPr>
      <w:r>
        <w:t xml:space="preserve">This Marketing Plan outlines a strategic roadmap for establishing a premium auditor service provider targeting multinational corporations, Chinese state-owned enterprises (SOEs), and emerging SMEs within Beijing, China. Recognizing Beijing's status as China's political hub and second-largest financial center, we position our firm as the definitive partner for compliant, culturally attuned auditing solutions. Our plan leverages deep local expertise to address critical gaps in audit quality and regulatory alignment across the Beijing market.</w:t>
      </w:r>
    </w:p>
    <w:bookmarkEnd w:id="20"/>
    <w:bookmarkStart w:id="21" w:name="Xc6431ee0f2fcfb913b1e303602dccca1c04a4ac"/>
    <w:p>
      <w:pPr>
        <w:pStyle w:val="Heading2"/>
      </w:pPr>
      <w:r>
        <w:t xml:space="preserve">Market Analysis: The Auditor Imperative in Beijing</w:t>
      </w:r>
    </w:p>
    <w:p>
      <w:pPr>
        <w:pStyle w:val="FirstParagraph"/>
      </w:pPr>
      <w:r>
        <w:t xml:space="preserve">Beijing's business landscape demands rigorous financial oversight. With over 350,000 registered enterprises and 12% annual growth in foreign-invested entities (Beijing Municipal Bureau of Statistics, 2023), the need for specialized auditor services has never been more acute. Key challenges include:</w:t>
      </w:r>
    </w:p>
    <w:p>
      <w:pPr>
        <w:numPr>
          <w:ilvl w:val="0"/>
          <w:numId w:val="1001"/>
        </w:numPr>
        <w:pStyle w:val="Compact"/>
      </w:pPr>
      <w:r>
        <w:rPr>
          <w:bCs/>
          <w:b/>
        </w:rPr>
        <w:t xml:space="preserve">Regulatory Complexity:</w:t>
      </w:r>
      <w:r>
        <w:t xml:space="preserve"> </w:t>
      </w:r>
      <w:r>
        <w:t xml:space="preserve">Navigating China's evolving Accounting Standards (CAS) alongside International Financial Reporting Standards (IFRS)</w:t>
      </w:r>
    </w:p>
    <w:p>
      <w:pPr>
        <w:numPr>
          <w:ilvl w:val="0"/>
          <w:numId w:val="1001"/>
        </w:numPr>
        <w:pStyle w:val="Compact"/>
      </w:pPr>
      <w:r>
        <w:rPr>
          <w:bCs/>
          <w:b/>
        </w:rPr>
        <w:t xml:space="preserve">Quality Gaps:</w:t>
      </w:r>
      <w:r>
        <w:t xml:space="preserve"> </w:t>
      </w:r>
      <w:r>
        <w:t xml:space="preserve">68% of Beijing-based SMEs report audit failures in detecting financial irregularities (China Audit Association, 2023)</w:t>
      </w:r>
    </w:p>
    <w:p>
      <w:pPr>
        <w:numPr>
          <w:ilvl w:val="0"/>
          <w:numId w:val="1001"/>
        </w:numPr>
        <w:pStyle w:val="Compact"/>
      </w:pPr>
      <w:r>
        <w:rPr>
          <w:bCs/>
          <w:b/>
        </w:rPr>
        <w:t xml:space="preserve">Cultural Nuances:</w:t>
      </w:r>
      <w:r>
        <w:t xml:space="preserve"> </w:t>
      </w:r>
      <w:r>
        <w:t xml:space="preserve">Traditional Chinese business practices often conflict with Western audit expectations</w:t>
      </w:r>
    </w:p>
    <w:p>
      <w:pPr>
        <w:pStyle w:val="FirstParagraph"/>
      </w:pPr>
      <w:r>
        <w:t xml:space="preserve">This creates a $450M+ opportunity for a locally embedded auditor service provider. Our competitive edge lies in Beijing-specific expertise and bilingual (Chinese/English) audit teams certified under both CAS and PCAOB standards.</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Size (Beijing)</w:t>
            </w:r>
          </w:p>
        </w:tc>
        <w:tc>
          <w:tcPr/>
          <w:p>
            <w:pPr>
              <w:pStyle w:val="Compact"/>
              <w:jc w:val="left"/>
            </w:pPr>
            <w:r>
              <w:t xml:space="preserve">Pain Points</w:t>
            </w:r>
          </w:p>
        </w:tc>
        <w:tc>
          <w:tcPr/>
          <w:p>
            <w:pPr>
              <w:pStyle w:val="Compact"/>
              <w:jc w:val="left"/>
            </w:pPr>
            <w:r>
              <w:t xml:space="preserve">Our Solution Focus</w:t>
            </w:r>
          </w:p>
        </w:tc>
      </w:tr>
      <w:tr>
        <w:tc>
          <w:tcPr/>
          <w:p>
            <w:pPr>
              <w:pStyle w:val="Compact"/>
              <w:jc w:val="left"/>
            </w:pPr>
            <w:r>
              <w:rPr>
                <w:bCs/>
                <w:b/>
              </w:rPr>
              <w:t xml:space="preserve">Foreign Multinationals (MNCs)</w:t>
            </w:r>
          </w:p>
        </w:tc>
        <w:tc>
          <w:tcPr/>
          <w:p>
            <w:pPr>
              <w:pStyle w:val="Compact"/>
              <w:jc w:val="left"/>
            </w:pPr>
            <w:r>
              <w:t xml:space="preserve">12,000+ entities</w:t>
            </w:r>
          </w:p>
        </w:tc>
        <w:tc>
          <w:tcPr/>
          <w:p>
            <w:pPr>
              <w:pStyle w:val="Compact"/>
              <w:jc w:val="left"/>
            </w:pPr>
            <w:r>
              <w:t xml:space="preserve">Misalignment between domestic filings and global reporting; Beijing regulatory friction</w:t>
            </w:r>
          </w:p>
        </w:tc>
        <w:tc>
          <w:tcPr/>
          <w:p>
            <w:pPr>
              <w:pStyle w:val="Compact"/>
              <w:jc w:val="left"/>
            </w:pPr>
            <w:r>
              <w:t xml:space="preserve">Cross-border audit coordination with dual reporting (CAS/IFRS), Beijing government liaison services</w:t>
            </w:r>
          </w:p>
        </w:tc>
      </w:tr>
      <w:tr>
        <w:tc>
          <w:tcPr/>
          <w:p>
            <w:pPr>
              <w:pStyle w:val="Compact"/>
              <w:jc w:val="left"/>
            </w:pPr>
            <w:r>
              <w:rPr>
                <w:bCs/>
                <w:b/>
              </w:rPr>
              <w:t xml:space="preserve">Beijing SOEs &amp; State-Owned Entities</w:t>
            </w:r>
          </w:p>
        </w:tc>
        <w:tc>
          <w:tcPr/>
          <w:p>
            <w:pPr>
              <w:pStyle w:val="Compact"/>
              <w:jc w:val="left"/>
            </w:pPr>
            <w:r>
              <w:t xml:space="preserve">2,300+ entities</w:t>
            </w:r>
          </w:p>
        </w:tc>
        <w:tc>
          <w:tcPr/>
          <w:p>
            <w:pPr>
              <w:pStyle w:val="Compact"/>
              <w:jc w:val="left"/>
            </w:pPr>
            <w:r>
              <w:t xml:space="preserve">Compliance risks under new state asset oversight regulations (2024)</w:t>
            </w:r>
          </w:p>
        </w:tc>
        <w:tc>
          <w:tcPr/>
          <w:p>
            <w:pPr>
              <w:pStyle w:val="Compact"/>
              <w:jc w:val="left"/>
            </w:pPr>
            <w:r>
              <w:t xml:space="preserve">Customized SOE compliance frameworks, government engagement protocols</w:t>
            </w:r>
          </w:p>
        </w:tc>
      </w:tr>
      <w:tr>
        <w:tc>
          <w:tcPr/>
          <w:p>
            <w:pPr>
              <w:pStyle w:val="Compact"/>
              <w:jc w:val="left"/>
            </w:pPr>
            <w:r>
              <w:rPr>
                <w:bCs/>
                <w:b/>
              </w:rPr>
              <w:t xml:space="preserve">Growth-Stage SMEs in Tech/Finance Sectors</w:t>
            </w:r>
          </w:p>
        </w:tc>
        <w:tc>
          <w:tcPr/>
          <w:p>
            <w:pPr>
              <w:pStyle w:val="Compact"/>
              <w:jc w:val="left"/>
            </w:pPr>
            <w:r>
              <w:t xml:space="preserve">85,000+ registered</w:t>
            </w:r>
          </w:p>
        </w:tc>
        <w:tc>
          <w:tcPr/>
          <w:p>
            <w:pPr>
              <w:pStyle w:val="Compact"/>
              <w:jc w:val="left"/>
            </w:pPr>
            <w:r>
              <w:t xml:space="preserve">Limited internal audit capacity; cash flow mismanagement risks</w:t>
            </w:r>
          </w:p>
        </w:tc>
        <w:tc>
          <w:tcPr/>
          <w:p>
            <w:pPr>
              <w:pStyle w:val="Compact"/>
              <w:jc w:val="left"/>
            </w:pPr>
            <w:r>
              <w:t xml:space="preserve">Scalable audit packages with financial health analytics for Beijing incubators</w:t>
            </w:r>
          </w:p>
        </w:tc>
      </w:tr>
    </w:tbl>
    <w:bookmarkEnd w:id="22"/>
    <w:bookmarkStart w:id="23" w:name="marketing-objectives-beijing-specific"/>
    <w:p>
      <w:pPr>
        <w:pStyle w:val="Heading2"/>
      </w:pPr>
      <w:r>
        <w:t xml:space="preserve">Marketing Objectives (Beijing-Specific)</w:t>
      </w:r>
    </w:p>
    <w:p>
      <w:pPr>
        <w:pStyle w:val="FirstParagraph"/>
      </w:pPr>
      <w:r>
        <w:t xml:space="preserve">All objectives are calibrated to Beijing's market dynamics and measured quarterly:</w:t>
      </w:r>
    </w:p>
    <w:p>
      <w:pPr>
        <w:numPr>
          <w:ilvl w:val="0"/>
          <w:numId w:val="1002"/>
        </w:numPr>
        <w:pStyle w:val="Compact"/>
      </w:pPr>
      <w:r>
        <w:rPr>
          <w:bCs/>
          <w:b/>
        </w:rPr>
        <w:t xml:space="preserve">Market Penetration:</w:t>
      </w:r>
      <w:r>
        <w:t xml:space="preserve"> </w:t>
      </w:r>
      <w:r>
        <w:t xml:space="preserve">Achieve 7% share of audited enterprise contracts in Beijing within 18 months</w:t>
      </w:r>
    </w:p>
    <w:p>
      <w:pPr>
        <w:numPr>
          <w:ilvl w:val="0"/>
          <w:numId w:val="1002"/>
        </w:numPr>
        <w:pStyle w:val="Compact"/>
      </w:pPr>
      <w:r>
        <w:rPr>
          <w:bCs/>
          <w:b/>
        </w:rPr>
        <w:t xml:space="preserve">Credibility Building:</w:t>
      </w:r>
      <w:r>
        <w:t xml:space="preserve"> </w:t>
      </w:r>
      <w:r>
        <w:t xml:space="preserve">Secure 30+ certified endorsements from Beijing-based industry associations (e.g., Beijing Chamber of Commerce)</w:t>
      </w:r>
    </w:p>
    <w:p>
      <w:pPr>
        <w:numPr>
          <w:ilvl w:val="0"/>
          <w:numId w:val="1002"/>
        </w:numPr>
        <w:pStyle w:val="Compact"/>
      </w:pPr>
      <w:r>
        <w:rPr>
          <w:bCs/>
          <w:b/>
        </w:rPr>
        <w:t xml:space="preserve">Digital Adoption:</w:t>
      </w:r>
      <w:r>
        <w:t xml:space="preserve"> </w:t>
      </w:r>
      <w:r>
        <w:t xml:space="preserve">Capture 45% of new audit clients through digital channels by Year 2</w:t>
      </w:r>
    </w:p>
    <w:p>
      <w:pPr>
        <w:numPr>
          <w:ilvl w:val="0"/>
          <w:numId w:val="1002"/>
        </w:numPr>
        <w:pStyle w:val="Compact"/>
      </w:pPr>
      <w:r>
        <w:rPr>
          <w:bCs/>
          <w:b/>
        </w:rPr>
        <w:t xml:space="preserve">Regulatory Leadership:</w:t>
      </w:r>
      <w:r>
        <w:t xml:space="preserve"> </w:t>
      </w:r>
      <w:r>
        <w:t xml:space="preserve">Become the first auditor firm to publish CAS/IFRS alignment guide for Beijing enterprises (Q3 2024)</w:t>
      </w:r>
    </w:p>
    <w:bookmarkEnd w:id="23"/>
    <w:bookmarkStart w:id="28" w:name="Xb6249f4965add09393f6f8e0befccc83c168cdf"/>
    <w:p>
      <w:pPr>
        <w:pStyle w:val="Heading2"/>
      </w:pPr>
      <w:r>
        <w:t xml:space="preserve">Strategic Marketing Mix: The Beijing Auditor Advantage</w:t>
      </w:r>
    </w:p>
    <w:bookmarkStart w:id="24" w:name="product-strategy"/>
    <w:p>
      <w:pPr>
        <w:pStyle w:val="Heading3"/>
      </w:pPr>
      <w:r>
        <w:t xml:space="preserve">Product Strategy</w:t>
      </w:r>
    </w:p>
    <w:p>
      <w:pPr>
        <w:pStyle w:val="FirstParagraph"/>
      </w:pPr>
      <w:r>
        <w:t xml:space="preserve">We develop three tailored solutions specifically for the Beijing market:</w:t>
      </w:r>
    </w:p>
    <w:p>
      <w:pPr>
        <w:numPr>
          <w:ilvl w:val="0"/>
          <w:numId w:val="1003"/>
        </w:numPr>
        <w:pStyle w:val="Compact"/>
      </w:pPr>
      <w:r>
        <w:rPr>
          <w:bCs/>
          <w:b/>
        </w:rPr>
        <w:t xml:space="preserve">Beijing Compliance Shield:</w:t>
      </w:r>
      <w:r>
        <w:t xml:space="preserve"> </w:t>
      </w:r>
      <w:r>
        <w:t xml:space="preserve">Audit package addressing local regulations (e.g., Beijing Municipal Tax Bureau requirements)</w:t>
      </w:r>
    </w:p>
    <w:p>
      <w:pPr>
        <w:numPr>
          <w:ilvl w:val="0"/>
          <w:numId w:val="1003"/>
        </w:numPr>
        <w:pStyle w:val="Compact"/>
      </w:pPr>
      <w:r>
        <w:rPr>
          <w:bCs/>
          <w:b/>
        </w:rPr>
        <w:t xml:space="preserve">MNC Integration Service:</w:t>
      </w:r>
      <w:r>
        <w:t xml:space="preserve"> </w:t>
      </w:r>
      <w:r>
        <w:t xml:space="preserve">Dedicated team managing cross-border audit coordination between Shanghai HQs and Beijing operations</w:t>
      </w:r>
    </w:p>
    <w:p>
      <w:pPr>
        <w:numPr>
          <w:ilvl w:val="0"/>
          <w:numId w:val="1003"/>
        </w:numPr>
        <w:pStyle w:val="Compact"/>
      </w:pPr>
      <w:r>
        <w:rPr>
          <w:bCs/>
          <w:b/>
        </w:rPr>
        <w:t xml:space="preserve">SME Financial Health Scorecard:</w:t>
      </w:r>
      <w:r>
        <w:t xml:space="preserve"> </w:t>
      </w:r>
      <w:r>
        <w:t xml:space="preserve">AI-powered audit tool analyzing cash flow risks unique to Beijing's high-cost business environment</w:t>
      </w:r>
    </w:p>
    <w:bookmarkEnd w:id="24"/>
    <w:bookmarkStart w:id="25" w:name="pricing-strategy"/>
    <w:p>
      <w:pPr>
        <w:pStyle w:val="Heading3"/>
      </w:pPr>
      <w:r>
        <w:t xml:space="preserve">Pricing Strategy</w:t>
      </w:r>
    </w:p>
    <w:p>
      <w:pPr>
        <w:pStyle w:val="FirstParagraph"/>
      </w:pPr>
      <w:r>
        <w:t xml:space="preserve">A tiered model reflecting Beijing's economic diversity:</w:t>
      </w:r>
    </w:p>
    <w:p>
      <w:pPr>
        <w:numPr>
          <w:ilvl w:val="0"/>
          <w:numId w:val="1004"/>
        </w:numPr>
        <w:pStyle w:val="Compact"/>
      </w:pPr>
      <w:r>
        <w:rPr>
          <w:bCs/>
          <w:b/>
        </w:rPr>
        <w:t xml:space="preserve">Premium Tier (MNCs):</w:t>
      </w:r>
      <w:r>
        <w:t xml:space="preserve"> </w:t>
      </w:r>
      <w:r>
        <w:t xml:space="preserve">Value-based pricing ($25K-$150K/year) with executive briefings at Beijing CBD venues</w:t>
      </w:r>
    </w:p>
    <w:p>
      <w:pPr>
        <w:numPr>
          <w:ilvl w:val="0"/>
          <w:numId w:val="1004"/>
        </w:numPr>
        <w:pStyle w:val="Compact"/>
      </w:pPr>
      <w:r>
        <w:rPr>
          <w:bCs/>
          <w:b/>
        </w:rPr>
        <w:t xml:space="preserve">Standard Tier (SOEs):</w:t>
      </w:r>
      <w:r>
        <w:t xml:space="preserve"> </w:t>
      </w:r>
      <w:r>
        <w:t xml:space="preserve">Fixed-fee contracts ($12K-$70K/year) including monthly compliance workshops at Beijing government hubs</w:t>
      </w:r>
    </w:p>
    <w:p>
      <w:pPr>
        <w:numPr>
          <w:ilvl w:val="0"/>
          <w:numId w:val="1004"/>
        </w:numPr>
        <w:pStyle w:val="Compact"/>
      </w:pPr>
      <w:r>
        <w:rPr>
          <w:bCs/>
          <w:b/>
        </w:rPr>
        <w:t xml:space="preserve">Essential Tier (SMEs):</w:t>
      </w:r>
      <w:r>
        <w:t xml:space="preserve"> </w:t>
      </w:r>
      <w:r>
        <w:t xml:space="preserve">Subscription model ($3K-$20K/year) with online portal access from Beijing-based data centers</w:t>
      </w:r>
    </w:p>
    <w:bookmarkEnd w:id="25"/>
    <w:bookmarkStart w:id="26" w:name="distribution-access-in-beijing"/>
    <w:p>
      <w:pPr>
        <w:pStyle w:val="Heading3"/>
      </w:pPr>
      <w:r>
        <w:t xml:space="preserve">Distribution &amp; Access in Beijing</w:t>
      </w:r>
    </w:p>
    <w:p>
      <w:pPr>
        <w:pStyle w:val="FirstParagraph"/>
      </w:pPr>
      <w:r>
        <w:t xml:space="preserve">We eliminate geographic barriers through:</w:t>
      </w:r>
    </w:p>
    <w:p>
      <w:pPr>
        <w:numPr>
          <w:ilvl w:val="0"/>
          <w:numId w:val="1005"/>
        </w:numPr>
        <w:pStyle w:val="Compact"/>
      </w:pPr>
      <w:r>
        <w:rPr>
          <w:bCs/>
          <w:b/>
        </w:rPr>
        <w:t xml:space="preserve">Beijing Office Network:</w:t>
      </w:r>
      <w:r>
        <w:t xml:space="preserve"> </w:t>
      </w:r>
      <w:r>
        <w:t xml:space="preserve">Physical presence in Wangfujing (central business district) and Zhongguancun (tech hub)</w:t>
      </w:r>
    </w:p>
    <w:p>
      <w:pPr>
        <w:numPr>
          <w:ilvl w:val="0"/>
          <w:numId w:val="1005"/>
        </w:numPr>
        <w:pStyle w:val="Compact"/>
      </w:pPr>
      <w:r>
        <w:rPr>
          <w:bCs/>
          <w:b/>
        </w:rPr>
        <w:t xml:space="preserve">Digital Access Hub:</w:t>
      </w:r>
      <w:r>
        <w:t xml:space="preserve"> </w:t>
      </w:r>
      <w:r>
        <w:t xml:space="preserve">Localized WeChat mini-program for audit requests with 24/7 Beijing-time support</w:t>
      </w:r>
    </w:p>
    <w:p>
      <w:pPr>
        <w:numPr>
          <w:ilvl w:val="0"/>
          <w:numId w:val="1005"/>
        </w:numPr>
        <w:pStyle w:val="Compact"/>
      </w:pPr>
      <w:r>
        <w:rPr>
          <w:bCs/>
          <w:b/>
        </w:rPr>
        <w:t xml:space="preserve">Government Partnership Program:</w:t>
      </w:r>
      <w:r>
        <w:t xml:space="preserve"> </w:t>
      </w:r>
      <w:r>
        <w:t xml:space="preserve">On-site audit services at Beijing Municipal Finance Bureau offices for SOEs</w:t>
      </w:r>
    </w:p>
    <w:bookmarkEnd w:id="26"/>
    <w:bookmarkStart w:id="27" w:name="promotion-culturally-native-outreach"/>
    <w:p>
      <w:pPr>
        <w:pStyle w:val="Heading3"/>
      </w:pPr>
      <w:r>
        <w:t xml:space="preserve">Promotion: Culturally Native Outreach</w:t>
      </w:r>
    </w:p>
    <w:p>
      <w:pPr>
        <w:pStyle w:val="FirstParagraph"/>
      </w:pPr>
      <w:r>
        <w:t xml:space="preserve">Our promotion strategy respects Beijing's business culture:</w:t>
      </w:r>
    </w:p>
    <w:p>
      <w:pPr>
        <w:numPr>
          <w:ilvl w:val="0"/>
          <w:numId w:val="1006"/>
        </w:numPr>
        <w:pStyle w:val="Compact"/>
      </w:pPr>
      <w:r>
        <w:rPr>
          <w:bCs/>
          <w:b/>
        </w:rPr>
        <w:t xml:space="preserve">Beijing Industry Forums:</w:t>
      </w:r>
      <w:r>
        <w:t xml:space="preserve"> </w:t>
      </w:r>
      <w:r>
        <w:t xml:space="preserve">Sponsoring annual "Financial Compliance Summit" at National Convention Center with 500+ attendees</w:t>
      </w:r>
    </w:p>
    <w:p>
      <w:pPr>
        <w:numPr>
          <w:ilvl w:val="0"/>
          <w:numId w:val="1006"/>
        </w:numPr>
        <w:pStyle w:val="Compact"/>
      </w:pPr>
      <w:r>
        <w:rPr>
          <w:bCs/>
          <w:b/>
        </w:rPr>
        <w:t xml:space="preserve">Government-Endorsed Content:</w:t>
      </w:r>
      <w:r>
        <w:t xml:space="preserve"> </w:t>
      </w:r>
      <w:r>
        <w:t xml:space="preserve">Co-publishing CAS interpretation guides with Beijing Tax Bureau</w:t>
      </w:r>
    </w:p>
    <w:p>
      <w:pPr>
        <w:numPr>
          <w:ilvl w:val="0"/>
          <w:numId w:val="1006"/>
        </w:numPr>
        <w:pStyle w:val="Compact"/>
      </w:pPr>
      <w:r>
        <w:rPr>
          <w:bCs/>
          <w:b/>
        </w:rPr>
        <w:t xml:space="preserve">Digital Targeting:</w:t>
      </w:r>
      <w:r>
        <w:t xml:space="preserve"> </w:t>
      </w:r>
      <w:r>
        <w:t xml:space="preserve">LinkedIn campaigns focused on Beijing enterprise leaders; WeChat content in Mandarin addressing local audit pain points</w:t>
      </w:r>
    </w:p>
    <w:p>
      <w:pPr>
        <w:numPr>
          <w:ilvl w:val="0"/>
          <w:numId w:val="1006"/>
        </w:numPr>
        <w:pStyle w:val="Compact"/>
      </w:pPr>
      <w:r>
        <w:rPr>
          <w:bCs/>
          <w:b/>
        </w:rPr>
        <w:t xml:space="preserve">Cultural Partnerships:</w:t>
      </w:r>
      <w:r>
        <w:t xml:space="preserve"> </w:t>
      </w:r>
      <w:r>
        <w:t xml:space="preserve">Collaborating with Beijing University's Business School for audit training programs</w:t>
      </w:r>
    </w:p>
    <w:bookmarkEnd w:id="27"/>
    <w:bookmarkEnd w:id="28"/>
    <w:bookmarkStart w:id="29" w:name="budget-allocation-beijing-focus"/>
    <w:p>
      <w:pPr>
        <w:pStyle w:val="Heading2"/>
      </w:pPr>
      <w:r>
        <w:t xml:space="preserve">Budget Allocation (Beijing Focus)</w:t>
      </w:r>
    </w:p>
    <w:p>
      <w:pPr>
        <w:pStyle w:val="FirstParagraph"/>
      </w:pPr>
      <w:r>
        <w:t xml:space="preserve">Total Year 1 Budget: $680,000 (85% allocated to Beijing-specific initiatives):</w:t>
      </w:r>
    </w:p>
    <w:p>
      <w:pPr>
        <w:numPr>
          <w:ilvl w:val="0"/>
          <w:numId w:val="1007"/>
        </w:numPr>
        <w:pStyle w:val="Compact"/>
      </w:pPr>
      <w:r>
        <w:t xml:space="preserve">35%: Localized digital marketing &amp; WeChat ecosystem development</w:t>
      </w:r>
    </w:p>
    <w:p>
      <w:pPr>
        <w:numPr>
          <w:ilvl w:val="0"/>
          <w:numId w:val="1007"/>
        </w:numPr>
        <w:pStyle w:val="Compact"/>
      </w:pPr>
      <w:r>
        <w:t xml:space="preserve">25%: Beijing office operations &amp; staff training (including Mandarin fluency certification)</w:t>
      </w:r>
    </w:p>
    <w:p>
      <w:pPr>
        <w:numPr>
          <w:ilvl w:val="0"/>
          <w:numId w:val="1007"/>
        </w:numPr>
        <w:pStyle w:val="Compact"/>
      </w:pPr>
      <w:r>
        <w:t xml:space="preserve">20%: Government and association engagement in Beijing</w:t>
      </w:r>
    </w:p>
    <w:p>
      <w:pPr>
        <w:numPr>
          <w:ilvl w:val="0"/>
          <w:numId w:val="1007"/>
        </w:numPr>
        <w:pStyle w:val="Compact"/>
      </w:pPr>
      <w:r>
        <w:t xml:space="preserve">15%: Industry event sponsorship (Beijing Chamber of Commerce, Tech Innovation Week)</w:t>
      </w:r>
    </w:p>
    <w:p>
      <w:pPr>
        <w:numPr>
          <w:ilvl w:val="0"/>
          <w:numId w:val="1007"/>
        </w:numPr>
        <w:pStyle w:val="Compact"/>
      </w:pPr>
      <w:r>
        <w:t xml:space="preserve">5%: CRM system customization for Beijing client management</w:t>
      </w:r>
    </w:p>
    <w:bookmarkEnd w:id="29"/>
    <w:bookmarkStart w:id="30" w:name="X597d7c378e4ea2769ebbeb63d2db211fe59aec6"/>
    <w:p>
      <w:pPr>
        <w:pStyle w:val="Heading2"/>
      </w:pPr>
      <w:r>
        <w:t xml:space="preserve">Implementation Timeline (Beijing Market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Beijing Marketing Actions</w:t>
            </w:r>
          </w:p>
        </w:tc>
      </w:tr>
      <w:tr>
        <w:tc>
          <w:tcPr/>
          <w:p>
            <w:pPr>
              <w:pStyle w:val="Compact"/>
              <w:jc w:val="left"/>
            </w:pPr>
            <w:r>
              <w:t xml:space="preserve">Q1 2024</w:t>
            </w:r>
          </w:p>
        </w:tc>
        <w:tc>
          <w:tcPr/>
          <w:p>
            <w:pPr>
              <w:pStyle w:val="Compact"/>
              <w:jc w:val="left"/>
            </w:pPr>
            <w:r>
              <w:t xml:space="preserve">Leverage Beijing Tax Bureau partnership for "Compliance Webinar Series"; Launch WeChat mini-program</w:t>
            </w:r>
          </w:p>
        </w:tc>
      </w:tr>
      <w:tr>
        <w:tc>
          <w:tcPr/>
          <w:p>
            <w:pPr>
              <w:pStyle w:val="Compact"/>
              <w:jc w:val="left"/>
            </w:pPr>
            <w:r>
              <w:t xml:space="preserve">Q2 2024</w:t>
            </w:r>
          </w:p>
        </w:tc>
        <w:tc>
          <w:tcPr/>
          <w:p>
            <w:pPr>
              <w:pStyle w:val="Compact"/>
              <w:jc w:val="left"/>
            </w:pPr>
            <w:r>
              <w:t xml:space="preserve">Sponsor Beijing MNC Summit; Hire 3 Mandarin-speaking audit leads in Zhongguancun office</w:t>
            </w:r>
          </w:p>
        </w:tc>
      </w:tr>
      <w:tr>
        <w:tc>
          <w:tcPr/>
          <w:p>
            <w:pPr>
              <w:pStyle w:val="Compact"/>
              <w:jc w:val="left"/>
            </w:pPr>
            <w:r>
              <w:t xml:space="preserve">Q3 2024</w:t>
            </w:r>
          </w:p>
        </w:tc>
        <w:tc>
          <w:tcPr/>
          <w:p>
            <w:pPr>
              <w:pStyle w:val="Compact"/>
              <w:jc w:val="left"/>
            </w:pPr>
            <w:r>
              <w:t xml:space="preserve">Release first CAS/IFRS guide for Beijing SOEs; Host executive roundtable at China World Trade Center</w:t>
            </w:r>
          </w:p>
        </w:tc>
      </w:tr>
      <w:tr>
        <w:tc>
          <w:tcPr/>
          <w:p>
            <w:pPr>
              <w:pStyle w:val="Compact"/>
              <w:jc w:val="left"/>
            </w:pPr>
            <w:r>
              <w:t xml:space="preserve">Q4 2024</w:t>
            </w:r>
          </w:p>
        </w:tc>
        <w:tc>
          <w:tcPr/>
          <w:p>
            <w:pPr>
              <w:pStyle w:val="Compact"/>
              <w:jc w:val="left"/>
            </w:pPr>
            <w:r>
              <w:t xml:space="preserve">Achieve 15% market penetration target in Beijing SME sector; Secure 10 government referral partnerships</w:t>
            </w:r>
          </w:p>
        </w:tc>
      </w:tr>
    </w:tbl>
    <w:bookmarkEnd w:id="30"/>
    <w:bookmarkStart w:id="31" w:name="Xf8dfbda4ddf64638dd79762ac60d10f42579e41"/>
    <w:p>
      <w:pPr>
        <w:pStyle w:val="Heading2"/>
      </w:pPr>
      <w:r>
        <w:t xml:space="preserve">Evaluation Framework: Measuring Auditor Success in Beijing</w:t>
      </w:r>
    </w:p>
    <w:p>
      <w:pPr>
        <w:pStyle w:val="FirstParagraph"/>
      </w:pPr>
      <w:r>
        <w:t xml:space="preserve">We track success through Beijing-specific KPIs:</w:t>
      </w:r>
    </w:p>
    <w:p>
      <w:pPr>
        <w:numPr>
          <w:ilvl w:val="0"/>
          <w:numId w:val="1008"/>
        </w:numPr>
        <w:pStyle w:val="Compact"/>
      </w:pPr>
      <w:r>
        <w:rPr>
          <w:bCs/>
          <w:b/>
        </w:rPr>
        <w:t xml:space="preserve">Client Retention Rate:</w:t>
      </w:r>
      <w:r>
        <w:t xml:space="preserve"> </w:t>
      </w:r>
      <w:r>
        <w:t xml:space="preserve">Target 85% (vs. industry average 65%) – measured by annual contract renewals in Beijing</w:t>
      </w:r>
    </w:p>
    <w:p>
      <w:pPr>
        <w:numPr>
          <w:ilvl w:val="0"/>
          <w:numId w:val="1008"/>
        </w:numPr>
        <w:pStyle w:val="Compact"/>
      </w:pPr>
      <w:r>
        <w:rPr>
          <w:bCs/>
          <w:b/>
        </w:rPr>
        <w:t xml:space="preserve">Regulatory Audit Success Rate:</w:t>
      </w:r>
      <w:r>
        <w:t xml:space="preserve"> </w:t>
      </w:r>
      <w:r>
        <w:t xml:space="preserve">90% pass rate on Beijing government compliance reviews</w:t>
      </w:r>
    </w:p>
    <w:p>
      <w:pPr>
        <w:numPr>
          <w:ilvl w:val="0"/>
          <w:numId w:val="1008"/>
        </w:numPr>
        <w:pStyle w:val="Compact"/>
      </w:pPr>
      <w:r>
        <w:rPr>
          <w:bCs/>
          <w:b/>
        </w:rPr>
        <w:t xml:space="preserve">Digital Adoption Rate:</w:t>
      </w:r>
      <w:r>
        <w:t xml:space="preserve"> </w:t>
      </w:r>
      <w:r>
        <w:t xml:space="preserve">45% of new clients using WeChat portal within 3 months (Beijing focus)</w:t>
      </w:r>
    </w:p>
    <w:p>
      <w:pPr>
        <w:numPr>
          <w:ilvl w:val="0"/>
          <w:numId w:val="1008"/>
        </w:numPr>
        <w:pStyle w:val="Compact"/>
      </w:pPr>
      <w:r>
        <w:rPr>
          <w:bCs/>
          <w:b/>
        </w:rPr>
        <w:t xml:space="preserve">Government Endorsement Index:</w:t>
      </w:r>
      <w:r>
        <w:t xml:space="preserve"> </w:t>
      </w:r>
      <w:r>
        <w:t xml:space="preserve">Minimum of 25 positive references from Beijing authorities annually</w:t>
      </w:r>
    </w:p>
    <w:bookmarkEnd w:id="31"/>
    <w:bookmarkStart w:id="32" w:name="closing-the-beijing-auditor-imperative"/>
    <w:p>
      <w:pPr>
        <w:pStyle w:val="Heading2"/>
      </w:pPr>
      <w:r>
        <w:t xml:space="preserve">Closing: The Beijing Auditor Imperative</w:t>
      </w:r>
    </w:p>
    <w:p>
      <w:pPr>
        <w:pStyle w:val="FirstParagraph"/>
      </w:pPr>
      <w:r>
        <w:t xml:space="preserve">In China's most influential business ecosystem, the need for a culturally intelligent auditor transcends transactional services. Our Marketing Plan positions us not as another auditor, but as the essential bridge between global standards and Beijing's unique regulatory terrain. By embedding ourselves within Beijing's economic fabric – from Zhongguancun tech parks to Municipal Finance Bureau corridors – we transform audit from a compliance burden into a strategic advantage for enterprises navigating China's complex business landscape. This plan delivers actionable pathways to dominate the auditor market in the heart of China.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Auditor Services in Beijing, China</dc:title>
  <dc:creator/>
  <dc:language>en</dc:language>
  <cp:keywords/>
  <dcterms:created xsi:type="dcterms:W3CDTF">2026-07-21T15:16:54Z</dcterms:created>
  <dcterms:modified xsi:type="dcterms:W3CDTF">2026-07-21T15:16:54Z</dcterms:modified>
</cp:coreProperties>
</file>

<file path=docProps/custom.xml><?xml version="1.0" encoding="utf-8"?>
<Properties xmlns="http://schemas.openxmlformats.org/officeDocument/2006/custom-properties" xmlns:vt="http://schemas.openxmlformats.org/officeDocument/2006/docPropsVTypes"/>
</file>