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China</w:t>
      </w:r>
      <w:r>
        <w:t xml:space="preserve"> </w:t>
      </w:r>
      <w:r>
        <w:t xml:space="preserve">Shanghai</w:t>
      </w:r>
    </w:p>
    <w:bookmarkStart w:id="29" w:name="X5e556f2baadaee9216793f7768189874477fa17"/>
    <w:p>
      <w:pPr>
        <w:pStyle w:val="Heading1"/>
      </w:pPr>
      <w:r>
        <w:t xml:space="preserve">Comprehensive Marketing Plan for Premium Auditor Services in China Shanghai</w:t>
      </w:r>
    </w:p>
    <w:bookmarkStart w:id="20" w:name="executive-summary"/>
    <w:p>
      <w:pPr>
        <w:pStyle w:val="Heading2"/>
      </w:pPr>
      <w:r>
        <w:t xml:space="preserve">Executive Summary</w:t>
      </w:r>
    </w:p>
    <w:p>
      <w:pPr>
        <w:pStyle w:val="FirstParagraph"/>
      </w:pPr>
      <w:r>
        <w:t xml:space="preserve">This Marketing Plan outlines a targeted strategy to establish and grow a premier auditing firm within the competitive financial landscape of China Shanghai. As global business activity intensifies in Shanghai's financial hub, demand for certified, culturally adept Auditors has surged. This plan positions our firm as the trusted partner for multinational corporations and local enterprises requiring rigorous compliance with Chinese regulatory standards (including CSRC, SASAC) and international frameworks (IFRS/US GAAP). The core objective is to capture 15% market share in Shanghai's professional auditor services sector within three years through data-driven marketing, localized expertise, and strategic partnerships.</w:t>
      </w:r>
    </w:p>
    <w:bookmarkEnd w:id="20"/>
    <w:bookmarkStart w:id="21" w:name="market-analysis-china-shanghai-context"/>
    <w:p>
      <w:pPr>
        <w:pStyle w:val="Heading2"/>
      </w:pPr>
      <w:r>
        <w:t xml:space="preserve">Market Analysis: China Shanghai Context</w:t>
      </w:r>
    </w:p>
    <w:p>
      <w:pPr>
        <w:pStyle w:val="FirstParagraph"/>
      </w:pPr>
      <w:r>
        <w:t xml:space="preserve">Shanghai’s status as China’s financial capital attracts over 60% of Fortune 500 companies operating in mainland China. The city hosts the Shanghai Stock Exchange (SSE), the world's third-largest stock market, creating unprecedented demand for qualified Auditors. Recent regulatory shifts—such as enhanced disclosure requirements under the Corporate Governance Code and stricter anti-corruption laws—have amplified need for specialized audit services. However, a critical gap exists: only 22% of foreign firms in Shanghai report satisfaction with local auditor responsiveness to international standards (PwC China Market Report, 2023). This presents a significant opportunity for an Auditor firm combining deep Shanghai market intelligence with global best practices.</w:t>
      </w:r>
    </w:p>
    <w:bookmarkEnd w:id="21"/>
    <w:bookmarkStart w:id="22" w:name="target-audience"/>
    <w:p>
      <w:pPr>
        <w:pStyle w:val="Heading2"/>
      </w:pPr>
      <w:r>
        <w:t xml:space="preserve">Target Audience</w:t>
      </w:r>
    </w:p>
    <w:p>
      <w:pPr>
        <w:pStyle w:val="FirstParagraph"/>
      </w:pPr>
      <w:r>
        <w:t xml:space="preserve">Our primary focus targets three high-value segments within China Shanghai:</w:t>
      </w:r>
    </w:p>
    <w:p>
      <w:pPr>
        <w:numPr>
          <w:ilvl w:val="0"/>
          <w:numId w:val="1001"/>
        </w:numPr>
        <w:pStyle w:val="Compact"/>
      </w:pPr>
      <w:r>
        <w:rPr>
          <w:bCs/>
          <w:b/>
        </w:rPr>
        <w:t xml:space="preserve">Multinational Corporations (MNCs):</w:t>
      </w:r>
      <w:r>
        <w:t xml:space="preserve"> </w:t>
      </w:r>
      <w:r>
        <w:t xml:space="preserve">Companies with Shanghai headquarters requiring dual compliance (Chinese GAAP + international standards). Key pain points include navigating complex local regulations and ensuring audit transparency for parent companies.</w:t>
      </w:r>
    </w:p>
    <w:p>
      <w:pPr>
        <w:numPr>
          <w:ilvl w:val="0"/>
          <w:numId w:val="1001"/>
        </w:numPr>
        <w:pStyle w:val="Compact"/>
      </w:pPr>
      <w:r>
        <w:rPr>
          <w:bCs/>
          <w:b/>
        </w:rPr>
        <w:t xml:space="preserve">Shanghai-Based High-Growth SMEs:</w:t>
      </w:r>
      <w:r>
        <w:t xml:space="preserve"> </w:t>
      </w:r>
      <w:r>
        <w:t xml:space="preserve">Technology startups and manufacturing firms preparing for IPO on SSE or listing abroad, demanding cost-effective yet rigorous auditing.</w:t>
      </w:r>
    </w:p>
    <w:p>
      <w:pPr>
        <w:numPr>
          <w:ilvl w:val="0"/>
          <w:numId w:val="1001"/>
        </w:numPr>
        <w:pStyle w:val="Compact"/>
      </w:pPr>
      <w:r>
        <w:rPr>
          <w:bCs/>
          <w:b/>
        </w:rPr>
        <w:t xml:space="preserve">SASAC-Regulated Enterprises:</w:t>
      </w:r>
      <w:r>
        <w:t xml:space="preserve"> </w:t>
      </w:r>
      <w:r>
        <w:t xml:space="preserve">State-owned enterprises undergoing governance reforms needing audit services aligned with China’s "Three-Year Action Plan" for SOE reform.</w:t>
      </w:r>
    </w:p>
    <w:bookmarkEnd w:id="22"/>
    <w:bookmarkStart w:id="23" w:name="marketing-objectives"/>
    <w:p>
      <w:pPr>
        <w:pStyle w:val="Heading2"/>
      </w:pPr>
      <w:r>
        <w:t xml:space="preserve">Marketing Objectives</w:t>
      </w:r>
    </w:p>
    <w:p>
      <w:pPr>
        <w:pStyle w:val="FirstParagraph"/>
      </w:pPr>
      <w:r>
        <w:t xml:space="preserve">Within 18 months, we aim to:</w:t>
      </w:r>
    </w:p>
    <w:p>
      <w:pPr>
        <w:numPr>
          <w:ilvl w:val="0"/>
          <w:numId w:val="1002"/>
        </w:numPr>
        <w:pStyle w:val="Compact"/>
      </w:pPr>
      <w:r>
        <w:t xml:space="preserve">Secure contracts with 50+ Tier-1 enterprises in Shanghai (including 3 Fortune Global 500 firms)</w:t>
      </w:r>
    </w:p>
    <w:p>
      <w:pPr>
        <w:numPr>
          <w:ilvl w:val="0"/>
          <w:numId w:val="1002"/>
        </w:numPr>
        <w:pStyle w:val="Compact"/>
      </w:pPr>
      <w:r>
        <w:t xml:space="preserve">Achieve a client retention rate of 92% through service excellence</w:t>
      </w:r>
    </w:p>
    <w:p>
      <w:pPr>
        <w:numPr>
          <w:ilvl w:val="0"/>
          <w:numId w:val="1002"/>
        </w:numPr>
        <w:pStyle w:val="Compact"/>
      </w:pPr>
      <w:r>
        <w:t xml:space="preserve">Generate $12M in annual audit revenue from China Shanghai operations</w:t>
      </w:r>
    </w:p>
    <w:p>
      <w:pPr>
        <w:numPr>
          <w:ilvl w:val="0"/>
          <w:numId w:val="1002"/>
        </w:numPr>
        <w:pStyle w:val="Compact"/>
      </w:pPr>
      <w:r>
        <w:t xml:space="preserve">Establish brand recognition as "Shanghai’s Most Trusted Auditor" via digital and industry channels</w:t>
      </w:r>
    </w:p>
    <w:bookmarkEnd w:id="23"/>
    <w:bookmarkStart w:id="24" w:name="marketing-strategies-tactics"/>
    <w:p>
      <w:pPr>
        <w:pStyle w:val="Heading2"/>
      </w:pPr>
      <w:r>
        <w:t xml:space="preserve">Marketing Strategies &amp; Tactics</w:t>
      </w:r>
    </w:p>
    <w:p>
      <w:pPr>
        <w:pStyle w:val="FirstParagraph"/>
      </w:pPr>
      <w:r>
        <w:rPr>
          <w:bCs/>
          <w:b/>
        </w:rPr>
        <w:t xml:space="preserve">1. Hyper-Localized Service Positioning:</w:t>
      </w:r>
      <w:r>
        <w:t xml:space="preserve"> </w:t>
      </w:r>
      <w:r>
        <w:t xml:space="preserve">Our Marketing Plan integrates Shanghai-specific expertise through a dedicated "Shanghai Compliance Unit." This team comprises Chinese CPA-certified Auditors with 10+ years' experience navigating local regulatory nuances (e.g., tax incentives for Yangtze River Delta businesses, Shanghai Free Trade Zone rules). We will position our Auditor services as the only solution offering real-time adaptation to Shanghai’s evolving legal environment.</w:t>
      </w:r>
    </w:p>
    <w:p>
      <w:pPr>
        <w:pStyle w:val="BodyText"/>
      </w:pPr>
      <w:r>
        <w:rPr>
          <w:bCs/>
          <w:b/>
        </w:rPr>
        <w:t xml:space="preserve">2. Digital-First Lead Generation:</w:t>
      </w:r>
      <w:r>
        <w:t xml:space="preserve"> </w:t>
      </w:r>
      <w:r>
        <w:t xml:space="preserve">Deploy a multilingual (English/Chinese) SEO strategy targeting keywords like "Shanghai auditor," "SSE audit compliance," and "SOE auditing China." Partner with Shanghai-based platforms (e.g., Chinabrands, Shanghaidaily) for targeted LinkedIn campaigns showcasing case studies of MNCs achieving faster IPO approvals through our Auditor services. A key tactic: a free digital toolkit—"Shanghai Regulatory Compliance Checklist 2024" —to capture high-intent leads.</w:t>
      </w:r>
    </w:p>
    <w:p>
      <w:pPr>
        <w:pStyle w:val="BodyText"/>
      </w:pPr>
      <w:r>
        <w:rPr>
          <w:bCs/>
          <w:b/>
        </w:rPr>
        <w:t xml:space="preserve">3. Strategic Ecosystem Partnerships:</w:t>
      </w:r>
      <w:r>
        <w:t xml:space="preserve"> </w:t>
      </w:r>
      <w:r>
        <w:t xml:space="preserve">Forge alliances with Shanghai’s top-tier institutions to validate our expertise:</w:t>
      </w:r>
    </w:p>
    <w:p>
      <w:pPr>
        <w:numPr>
          <w:ilvl w:val="0"/>
          <w:numId w:val="1003"/>
        </w:numPr>
        <w:pStyle w:val="Compact"/>
      </w:pPr>
      <w:r>
        <w:t xml:space="preserve">Collaborate with Shanghai Accounting Association for certified training programs</w:t>
      </w:r>
    </w:p>
    <w:p>
      <w:pPr>
        <w:numPr>
          <w:ilvl w:val="0"/>
          <w:numId w:val="1003"/>
        </w:numPr>
        <w:pStyle w:val="Compact"/>
      </w:pPr>
      <w:r>
        <w:t xml:space="preserve">Co-host "Financial Governance Summits" at Lujiazui Financial District venues</w:t>
      </w:r>
    </w:p>
    <w:p>
      <w:pPr>
        <w:numPr>
          <w:ilvl w:val="0"/>
          <w:numId w:val="1003"/>
        </w:numPr>
        <w:pStyle w:val="Compact"/>
      </w:pPr>
      <w:r>
        <w:t xml:space="preserve">Integrate services with PwC, KPMG Shanghai (referral partnerships for cross-border audits)</w:t>
      </w:r>
    </w:p>
    <w:p>
      <w:pPr>
        <w:pStyle w:val="FirstParagraph"/>
      </w:pPr>
      <w:r>
        <w:rPr>
          <w:bCs/>
          <w:b/>
        </w:rPr>
        <w:t xml:space="preserve">4. Cultural-Driven Client Engagement:</w:t>
      </w:r>
      <w:r>
        <w:t xml:space="preserve"> </w:t>
      </w:r>
      <w:r>
        <w:t xml:space="preserve">Our Marketing Plan emphasizes relationship-building aligned with Chinese business culture. This includes:</w:t>
      </w:r>
    </w:p>
    <w:p>
      <w:pPr>
        <w:numPr>
          <w:ilvl w:val="0"/>
          <w:numId w:val="1004"/>
        </w:numPr>
        <w:pStyle w:val="Compact"/>
      </w:pPr>
      <w:r>
        <w:t xml:space="preserve">Hosting quarterly "Audit &amp; Governance Breakfasts" at Shanghai luxury hotels (e.g., The Ritz-Carlton)</w:t>
      </w:r>
    </w:p>
    <w:p>
      <w:pPr>
        <w:numPr>
          <w:ilvl w:val="0"/>
          <w:numId w:val="1004"/>
        </w:numPr>
        <w:pStyle w:val="Compact"/>
      </w:pPr>
      <w:r>
        <w:t xml:space="preserve">Deploying Mandarin-speaking client success managers for personalized communication</w:t>
      </w:r>
    </w:p>
    <w:p>
      <w:pPr>
        <w:numPr>
          <w:ilvl w:val="0"/>
          <w:numId w:val="1004"/>
        </w:numPr>
        <w:pStyle w:val="Compact"/>
      </w:pPr>
      <w:r>
        <w:t xml:space="preserve">Developing case studies featuring Shanghai-based client testimonials (e.g., "How we reduced audit time by 35% for a Jiangsu tech firm")</w:t>
      </w:r>
    </w:p>
    <w:bookmarkEnd w:id="24"/>
    <w:bookmarkStart w:id="25" w:name="budget-allocation-china-shanghai-focus"/>
    <w:p>
      <w:pPr>
        <w:pStyle w:val="Heading2"/>
      </w:pPr>
      <w:r>
        <w:t xml:space="preserve">Budget Allocation (China Shanghai Focus)</w:t>
      </w:r>
    </w:p>
    <w:p>
      <w:pPr>
        <w:pStyle w:val="FirstParagraph"/>
      </w:pPr>
      <w:r>
        <w:t xml:space="preserve">Marketing Activity</w:t>
      </w:r>
    </w:p>
    <w:p>
      <w:pPr>
        <w:pStyle w:val="BodyText"/>
      </w:pPr>
      <w:r>
        <w:t xml:space="preserve">Allocation (% of Total)</w:t>
      </w:r>
    </w:p>
    <w:p>
      <w:pPr>
        <w:pStyle w:val="BodyText"/>
      </w:pPr>
      <w:r>
        <w:t xml:space="preserve">Rationale</w:t>
      </w:r>
    </w:p>
    <w:p>
      <w:pPr>
        <w:pStyle w:val="BodyText"/>
      </w:pPr>
      <w:r>
        <w:t xml:space="preserve">Digital Campaigns (SEO/Content)</w:t>
      </w:r>
    </w:p>
    <w:p>
      <w:pPr>
        <w:pStyle w:val="BodyText"/>
      </w:pPr>
      <w:r>
        <w:t xml:space="preserve">35%</w:t>
      </w:r>
    </w:p>
    <w:p>
      <w:pPr>
        <w:pStyle w:val="BodyText"/>
      </w:pPr>
      <w:r>
        <w:t xml:space="preserve">Leverages Shanghai’s high digital adoption rate; targets MNC decision-makers online</w:t>
      </w:r>
    </w:p>
    <w:p>
      <w:pPr>
        <w:pStyle w:val="BodyText"/>
      </w:pPr>
      <w:r>
        <w:t xml:space="preserve">Industry Events (Shanghai venues)</w:t>
      </w:r>
    </w:p>
    <w:p>
      <w:pPr>
        <w:pStyle w:val="BodyText"/>
      </w:pPr>
      <w:r>
        <w:t xml:space="preserve">25%</w:t>
      </w:r>
    </w:p>
    <w:p>
      <w:pPr>
        <w:pStyle w:val="BodyText"/>
      </w:pPr>
      <w:r>
        <w:t xml:space="preserve">Strategic Partnerships (Local Associations)</w:t>
      </w:r>
    </w:p>
    <w:p>
      <w:pPr>
        <w:pStyle w:val="BodyText"/>
      </w:pPr>
      <w:r>
        <w:t xml:space="preserve">20%</w:t>
      </w:r>
    </w:p>
    <w:p>
      <w:pPr>
        <w:pStyle w:val="BodyText"/>
      </w:pPr>
      <w:r>
        <w:t xml:space="preserve">Buys credibility within Shanghai’s professional networks</w:t>
      </w:r>
    </w:p>
    <w:p>
      <w:pPr>
        <w:pStyle w:val="BodyText"/>
      </w:pPr>
      <w:r>
        <w:t xml:space="preserve">Cultural Engagement Programs</w:t>
      </w:r>
    </w:p>
    <w:p>
      <w:pPr>
        <w:pStyle w:val="BodyText"/>
      </w:pPr>
      <w:r>
        <w:t xml:space="preserve">15%</w:t>
      </w:r>
    </w:p>
    <w:p>
      <w:pPr>
        <w:pStyle w:val="BodyText"/>
      </w:pPr>
      <w:r>
        <w:t xml:space="preserve">Evaluation &amp; Analytics</w:t>
      </w:r>
    </w:p>
    <w:bookmarkEnd w:id="25"/>
    <w:bookmarkStart w:id="26" w:name="Xd7b2ec5f6739a5fcefc724655d4df425a406f64"/>
    <w:p>
      <w:pPr>
        <w:pStyle w:val="Heading2"/>
      </w:pPr>
      <w:r>
        <w:t xml:space="preserve">Implementation Timeline: China Shanghai Execution</w:t>
      </w:r>
    </w:p>
    <w:p>
      <w:pPr>
        <w:pStyle w:val="FirstParagraph"/>
      </w:pPr>
      <w:r>
        <w:rPr>
          <w:bCs/>
          <w:b/>
        </w:rPr>
        <w:t xml:space="preserve">Months 1-3:</w:t>
      </w:r>
      <w:r>
        <w:t xml:space="preserve"> </w:t>
      </w:r>
      <w:r>
        <w:t xml:space="preserve">Launch Shanghai-specific website portal; onboard local CPA talent; initiate partnership discussions with Accounting Association.</w:t>
      </w:r>
    </w:p>
    <w:p>
      <w:pPr>
        <w:pStyle w:val="BodyText"/>
      </w:pPr>
      <w:r>
        <w:rPr>
          <w:bCs/>
          <w:b/>
        </w:rPr>
        <w:t xml:space="preserve">Months 4-6:</w:t>
      </w:r>
      <w:r>
        <w:t xml:space="preserve"> </w:t>
      </w:r>
      <w:r>
        <w:t xml:space="preserve">Execute first "Shanghai Compliance Summit"; deploy digital lead-generation campaigns; secure pilot clients from Shanghai manufacturing sector.</w:t>
      </w:r>
    </w:p>
    <w:p>
      <w:pPr>
        <w:pStyle w:val="BodyText"/>
      </w:pPr>
      <w:r>
        <w:rPr>
          <w:bCs/>
          <w:b/>
        </w:rPr>
        <w:t xml:space="preserve">Months 7-12:</w:t>
      </w:r>
      <w:r>
        <w:t xml:space="preserve"> </w:t>
      </w:r>
      <w:r>
        <w:t xml:space="preserve">Scale successful tactics; expand to SASAC clients; publish Shanghai regulatory whitepaper. Target: 30% market penetration among Tier-2 MNCs in city.</w:t>
      </w:r>
    </w:p>
    <w:bookmarkEnd w:id="26"/>
    <w:bookmarkStart w:id="27" w:name="evaluation-control"/>
    <w:p>
      <w:pPr>
        <w:pStyle w:val="Heading2"/>
      </w:pPr>
      <w:r>
        <w:t xml:space="preserve">Evaluation &amp; Control</w:t>
      </w:r>
    </w:p>
    <w:p>
      <w:pPr>
        <w:pStyle w:val="FirstParagraph"/>
      </w:pPr>
      <w:r>
        <w:t xml:space="preserve">We will track success through Shanghai-specific KPIs:</w:t>
      </w:r>
    </w:p>
    <w:p>
      <w:pPr>
        <w:numPr>
          <w:ilvl w:val="0"/>
          <w:numId w:val="1005"/>
        </w:numPr>
        <w:pStyle w:val="Compact"/>
      </w:pPr>
      <w:r>
        <w:t xml:space="preserve">Lead conversion rate from digital campaigns (target: 18%)</w:t>
      </w:r>
    </w:p>
    <w:p>
      <w:pPr>
        <w:numPr>
          <w:ilvl w:val="0"/>
          <w:numId w:val="1005"/>
        </w:numPr>
        <w:pStyle w:val="Compact"/>
      </w:pPr>
      <w:r>
        <w:t xml:space="preserve">Client satisfaction scores on Shanghai regulatory navigation (target: 4.7/5)</w:t>
      </w:r>
    </w:p>
    <w:p>
      <w:pPr>
        <w:numPr>
          <w:ilvl w:val="0"/>
          <w:numId w:val="1005"/>
        </w:numPr>
        <w:pStyle w:val="Compact"/>
      </w:pPr>
      <w:r>
        <w:t xml:space="preserve">Number of new contracts with Shanghai-listed companies (quarterly targets)</w:t>
      </w:r>
    </w:p>
    <w:p>
      <w:pPr>
        <w:pStyle w:val="FirstParagraph"/>
      </w:pPr>
      <w:r>
        <w:t xml:space="preserve">Monthly reviews will adjust tactics based on Shanghai market feedback. A dedicated "China Shanghai Market Intelligence Unit" will monitor regulatory changes and competitor moves in real-time, ensuring our Auditor services remain ahead of compliance trends.</w:t>
      </w:r>
    </w:p>
    <w:bookmarkEnd w:id="27"/>
    <w:bookmarkStart w:id="28" w:name="X63cfb155a69dbb73c7d8895e53c128a4f4fa400"/>
    <w:p>
      <w:pPr>
        <w:pStyle w:val="Heading2"/>
      </w:pPr>
      <w:r>
        <w:t xml:space="preserve">Conclusion: The Future of Auditor Services in China Shanghai</w:t>
      </w:r>
    </w:p>
    <w:p>
      <w:pPr>
        <w:pStyle w:val="FirstParagraph"/>
      </w:pPr>
      <w:r>
        <w:t xml:space="preserve">This Marketing Plan is engineered to transform our firm into the preeminent choice for professional Audit services across China Shanghai. By embedding deep local knowledge into every service delivery—and consistently emphasizing our unique capability as an Auditor that "understands Shanghai"—we will drive sustainable growth where regulations and commerce converge. In a market demanding both technical precision and cultural fluency, our Marketing Plan doesn’t just sell audit services; it delivers strategic partnership for business success in China’s most dynamic financial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in China Shanghai</dc:title>
  <dc:creator/>
  <dc:language>en</dc:language>
  <cp:keywords/>
  <dcterms:created xsi:type="dcterms:W3CDTF">2026-07-23T03:20:27Z</dcterms:created>
  <dcterms:modified xsi:type="dcterms:W3CDTF">2026-07-23T03:20:27Z</dcterms:modified>
</cp:coreProperties>
</file>

<file path=docProps/custom.xml><?xml version="1.0" encoding="utf-8"?>
<Properties xmlns="http://schemas.openxmlformats.org/officeDocument/2006/custom-properties" xmlns:vt="http://schemas.openxmlformats.org/officeDocument/2006/docPropsVTypes"/>
</file>