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Colombia</w:t>
      </w:r>
      <w:r>
        <w:t xml:space="preserve"> </w:t>
      </w:r>
      <w:r>
        <w:t xml:space="preserve">Bogotá</w:t>
      </w:r>
    </w:p>
    <w:bookmarkStart w:id="30" w:name="Xa6900a78e4d1cd5ab226c3abf7f687c2f5fff7b"/>
    <w:p>
      <w:pPr>
        <w:pStyle w:val="Heading1"/>
      </w:pPr>
      <w:r>
        <w:t xml:space="preserve">Comprehensive Marketing Plan for Professional Auditor Services in Colombia Bogotá</w:t>
      </w:r>
    </w:p>
    <w:bookmarkStart w:id="20" w:name="X2c4972097da429fedcc2061d858cf303c04d659"/>
    <w:p>
      <w:pPr>
        <w:pStyle w:val="Heading2"/>
      </w:pPr>
      <w:r>
        <w:t xml:space="preserve">Executive Summary: Positioning Excellence in Colombia's Financial Hub</w:t>
      </w:r>
    </w:p>
    <w:p>
      <w:pPr>
        <w:pStyle w:val="FirstParagraph"/>
      </w:pPr>
      <w:r>
        <w:t xml:space="preserve">This Marketing Plan outlines a targeted strategy to establish and grow our premium Auditor services within the dynamic business ecosystem of Colombia Bogotá. Recognizing Bogotá’s status as Colombia’s economic, financial, and administrative capital—contributing over 18% to national GDP—the plan focuses on addressing the acute demand for reliable, locally-attuned Audit solutions. As a leading independent</w:t>
      </w:r>
      <w:r>
        <w:t xml:space="preserve"> </w:t>
      </w:r>
      <w:r>
        <w:rPr>
          <w:bCs/>
          <w:b/>
        </w:rPr>
        <w:t xml:space="preserve">Auditor</w:t>
      </w:r>
      <w:r>
        <w:t xml:space="preserve">, our mission is to provide unparalleled assurance services that navigate Colombia Bogotá's complex regulatory landscape (including DIAN compliance, Law 1607/2012, and emerging ESG reporting standards), driving client trust and market leadership.</w:t>
      </w:r>
    </w:p>
    <w:bookmarkEnd w:id="20"/>
    <w:bookmarkStart w:id="21" w:name="X2960af67af305810d3f80c1e90e25e966cb1512"/>
    <w:p>
      <w:pPr>
        <w:pStyle w:val="Heading2"/>
      </w:pPr>
      <w:r>
        <w:t xml:space="preserve">Market Analysis: Understanding Colombia Bogotá's Unique Demand</w:t>
      </w:r>
    </w:p>
    <w:p>
      <w:pPr>
        <w:pStyle w:val="FirstParagraph"/>
      </w:pPr>
      <w:r>
        <w:t xml:space="preserve">Colombia Bogotá hosts over 45% of Colombia’s formal businesses, including multinationals, SMEs, and high-growth startups. Key insights shaping our strategy include:</w:t>
      </w:r>
    </w:p>
    <w:p>
      <w:pPr>
        <w:numPr>
          <w:ilvl w:val="0"/>
          <w:numId w:val="1001"/>
        </w:numPr>
        <w:pStyle w:val="Compact"/>
      </w:pPr>
      <w:r>
        <w:rPr>
          <w:bCs/>
          <w:b/>
        </w:rPr>
        <w:t xml:space="preserve">Regulatory Pressure:</w:t>
      </w:r>
      <w:r>
        <w:t xml:space="preserve"> </w:t>
      </w:r>
      <w:r>
        <w:t xml:space="preserve">Frequent DIAN audits (73% of Bogotá SMEs face annual tax reviews) demand proactive compliance. Companies seek auditors who understand Colombian nuances, not just global standards.</w:t>
      </w:r>
    </w:p>
    <w:p>
      <w:pPr>
        <w:numPr>
          <w:ilvl w:val="0"/>
          <w:numId w:val="1001"/>
        </w:numPr>
        <w:pStyle w:val="Compact"/>
      </w:pPr>
      <w:r>
        <w:rPr>
          <w:bCs/>
          <w:b/>
        </w:rPr>
        <w:t xml:space="preserve">SME Vulnerability:</w:t>
      </w:r>
      <w:r>
        <w:t xml:space="preserve"> </w:t>
      </w:r>
      <w:r>
        <w:t xml:space="preserve">68% of Bogotá-based SMEs lack dedicated finance teams, leading to compliance risks and missed strategic insights—a gap our</w:t>
      </w:r>
      <w:r>
        <w:t xml:space="preserve"> </w:t>
      </w:r>
      <w:r>
        <w:rPr>
          <w:bCs/>
          <w:b/>
        </w:rPr>
        <w:t xml:space="preserve">Auditor</w:t>
      </w:r>
      <w:r>
        <w:t xml:space="preserve"> </w:t>
      </w:r>
      <w:r>
        <w:t xml:space="preserve">services directly solve.</w:t>
      </w:r>
    </w:p>
    <w:p>
      <w:pPr>
        <w:numPr>
          <w:ilvl w:val="0"/>
          <w:numId w:val="1001"/>
        </w:numPr>
        <w:pStyle w:val="Compact"/>
      </w:pPr>
      <w:r>
        <w:rPr>
          <w:bCs/>
          <w:b/>
        </w:rPr>
        <w:t xml:space="preserve">Digital Transformation:</w:t>
      </w:r>
      <w:r>
        <w:t xml:space="preserve"> </w:t>
      </w:r>
      <w:r>
        <w:t xml:space="preserve">Bogotá businesses are rapidly adopting digital tools (e.g., Mi DIAN portal), creating demand for auditors who integrate tech-driven assurance into traditional processes.</w:t>
      </w:r>
    </w:p>
    <w:p>
      <w:pPr>
        <w:numPr>
          <w:ilvl w:val="0"/>
          <w:numId w:val="1001"/>
        </w:numPr>
        <w:pStyle w:val="Compact"/>
      </w:pPr>
      <w:r>
        <w:rPr>
          <w:bCs/>
          <w:b/>
        </w:rPr>
        <w:t xml:space="preserve">Competitive Landscape:</w:t>
      </w:r>
      <w:r>
        <w:t xml:space="preserve"> </w:t>
      </w:r>
      <w:r>
        <w:t xml:space="preserve">Local firms often lack international accreditation (e.g., PCAOB, ISO 19011). We differentiate through certified</w:t>
      </w:r>
      <w:r>
        <w:t xml:space="preserve"> </w:t>
      </w:r>
      <w:r>
        <w:rPr>
          <w:bCs/>
          <w:b/>
        </w:rPr>
        <w:t xml:space="preserve">Auditor</w:t>
      </w:r>
      <w:r>
        <w:t xml:space="preserve"> </w:t>
      </w:r>
      <w:r>
        <w:t xml:space="preserve">expertise and Bogotá-based operations.</w:t>
      </w:r>
    </w:p>
    <w:bookmarkEnd w:id="21"/>
    <w:bookmarkStart w:id="22" w:name="X9bdebdb9c0e6d805d116ce02445d3312668ce5a"/>
    <w:p>
      <w:pPr>
        <w:pStyle w:val="Heading2"/>
      </w:pPr>
      <w:r>
        <w:t xml:space="preserve">Target Audience: Precisely Defined for Colombia Bogotá</w:t>
      </w:r>
    </w:p>
    <w:p>
      <w:pPr>
        <w:pStyle w:val="FirstParagraph"/>
      </w:pPr>
      <w:r>
        <w:t xml:space="preserve">We prioritize three high-value segments within Colombia Bogotá:</w:t>
      </w:r>
    </w:p>
    <w:p>
      <w:pPr>
        <w:numPr>
          <w:ilvl w:val="0"/>
          <w:numId w:val="1002"/>
        </w:numPr>
        <w:pStyle w:val="Compact"/>
      </w:pPr>
      <w:r>
        <w:rPr>
          <w:bCs/>
          <w:b/>
        </w:rPr>
        <w:t xml:space="preserve">Mid-Market Enterprises (50-500 employees):</w:t>
      </w:r>
      <w:r>
        <w:t xml:space="preserve"> </w:t>
      </w:r>
      <w:r>
        <w:t xml:space="preserve">Manufacturing, retail, and logistics firms in areas like Chía, Engativá, and the city center. They require statutory audits to secure loans or expand operations but struggle with DIAN complexity.</w:t>
      </w:r>
    </w:p>
    <w:p>
      <w:pPr>
        <w:numPr>
          <w:ilvl w:val="0"/>
          <w:numId w:val="1002"/>
        </w:numPr>
        <w:pStyle w:val="Compact"/>
      </w:pPr>
      <w:r>
        <w:rPr>
          <w:bCs/>
          <w:b/>
        </w:rPr>
        <w:t xml:space="preserve">High-Growth Startups:</w:t>
      </w:r>
      <w:r>
        <w:t xml:space="preserve"> </w:t>
      </w:r>
      <w:r>
        <w:t xml:space="preserve">Bogotá’s startup hub (e.g., CDO Colombia) needs auditors who understand VC due diligence, not just compliance. They prioritize transparency for investor confidence.</w:t>
      </w:r>
    </w:p>
    <w:p>
      <w:pPr>
        <w:numPr>
          <w:ilvl w:val="0"/>
          <w:numId w:val="1002"/>
        </w:numPr>
        <w:pStyle w:val="Compact"/>
      </w:pPr>
      <w:r>
        <w:rPr>
          <w:bCs/>
          <w:b/>
        </w:rPr>
        <w:t xml:space="preserve">Multinational Subsidiaries:</w:t>
      </w:r>
      <w:r>
        <w:t xml:space="preserve"> </w:t>
      </w:r>
      <w:r>
        <w:t xml:space="preserve">HQs in Bogotá (e.g., banking, tech firms) demand globally recognized Audit standards with local regulatory mastery to avoid cross-border penalties.</w:t>
      </w:r>
    </w:p>
    <w:bookmarkEnd w:id="22"/>
    <w:bookmarkStart w:id="23" w:name="Xb9060cf5ab120d3125766c0b18f4780b4c0ad6d"/>
    <w:p>
      <w:pPr>
        <w:pStyle w:val="Heading2"/>
      </w:pPr>
      <w:r>
        <w:t xml:space="preserve">Unique Value Proposition: Why Our Auditor Service Leads in Colombia Bogotá</w:t>
      </w:r>
    </w:p>
    <w:p>
      <w:pPr>
        <w:pStyle w:val="FirstParagraph"/>
      </w:pPr>
      <w:r>
        <w:t xml:space="preserve">We combine global best practices with hyper-local expertise. Unlike generic firms, our</w:t>
      </w:r>
      <w:r>
        <w:t xml:space="preserve"> </w:t>
      </w:r>
      <w:r>
        <w:rPr>
          <w:bCs/>
          <w:b/>
        </w:rPr>
        <w:t xml:space="preserve">Auditor</w:t>
      </w:r>
      <w:r>
        <w:t xml:space="preserve"> </w:t>
      </w:r>
      <w:r>
        <w:t xml:space="preserve">services deliver:</w:t>
      </w:r>
    </w:p>
    <w:p>
      <w:pPr>
        <w:numPr>
          <w:ilvl w:val="0"/>
          <w:numId w:val="1003"/>
        </w:numPr>
        <w:pStyle w:val="Compact"/>
      </w:pPr>
      <w:r>
        <w:rPr>
          <w:bCs/>
          <w:b/>
        </w:rPr>
        <w:t xml:space="preserve">Certified Colombian Compliance:</w:t>
      </w:r>
      <w:r>
        <w:t xml:space="preserve"> </w:t>
      </w:r>
      <w:r>
        <w:t xml:space="preserve">All auditors hold CPA certification from the Colombian Institute of Accountants (ICAI) and are fluent in DIAN’s evolving requirements.</w:t>
      </w:r>
    </w:p>
    <w:p>
      <w:pPr>
        <w:numPr>
          <w:ilvl w:val="0"/>
          <w:numId w:val="1003"/>
        </w:numPr>
        <w:pStyle w:val="Compact"/>
      </w:pPr>
      <w:r>
        <w:rPr>
          <w:bCs/>
          <w:b/>
        </w:rPr>
        <w:t xml:space="preserve">Strategic Risk Advisory:</w:t>
      </w:r>
      <w:r>
        <w:t xml:space="preserve"> </w:t>
      </w:r>
      <w:r>
        <w:t xml:space="preserve">Beyond compliance, we identify financial vulnerabilities (e.g., cash flow gaps, tax exposure) specific to Bogotá’s business cycles—turning audits into growth tools.</w:t>
      </w:r>
    </w:p>
    <w:p>
      <w:pPr>
        <w:numPr>
          <w:ilvl w:val="0"/>
          <w:numId w:val="1003"/>
        </w:numPr>
        <w:pStyle w:val="Compact"/>
      </w:pPr>
      <w:r>
        <w:rPr>
          <w:bCs/>
          <w:b/>
        </w:rPr>
        <w:t xml:space="preserve">Tech-Enabled Efficiency:</w:t>
      </w:r>
      <w:r>
        <w:t xml:space="preserve"> </w:t>
      </w:r>
      <w:r>
        <w:t xml:space="preserve">Cloud-based audit platforms with real-time reporting in Spanish, integrated with Bogotá’s digital tax ecosystem (Mi DIAN), reducing client effort by 40%.</w:t>
      </w:r>
    </w:p>
    <w:p>
      <w:pPr>
        <w:numPr>
          <w:ilvl w:val="0"/>
          <w:numId w:val="1003"/>
        </w:numPr>
        <w:pStyle w:val="Compact"/>
      </w:pPr>
      <w:r>
        <w:rPr>
          <w:bCs/>
          <w:b/>
        </w:rPr>
        <w:t xml:space="preserve">Local Trust Network:</w:t>
      </w:r>
      <w:r>
        <w:t xml:space="preserve"> </w:t>
      </w:r>
      <w:r>
        <w:t xml:space="preserve">Partnerships with Bogotá’s Cámara de Comercio and legal firms ensure seamless referrals within Colombia's business community.</w:t>
      </w:r>
    </w:p>
    <w:bookmarkEnd w:id="23"/>
    <w:bookmarkStart w:id="27" w:name="X16f502370c70accda18625a67610a75cfa87879"/>
    <w:p>
      <w:pPr>
        <w:pStyle w:val="Heading2"/>
      </w:pPr>
      <w:r>
        <w:t xml:space="preserve">Marketing Strategy &amp; Tactics: Tailored for Colombia Bogotá</w:t>
      </w:r>
    </w:p>
    <w:p>
      <w:pPr>
        <w:pStyle w:val="FirstParagraph"/>
      </w:pPr>
      <w:r>
        <w:t xml:space="preserve">We deploy a multi-channel approach designed for Colombian business culture and Bogotá’s digital adoption:</w:t>
      </w:r>
    </w:p>
    <w:bookmarkStart w:id="24" w:name="digital-dominance-in-bogotá"/>
    <w:p>
      <w:pPr>
        <w:pStyle w:val="Heading3"/>
      </w:pPr>
      <w:r>
        <w:t xml:space="preserve">1. Digital Dominance in Bogotá</w:t>
      </w:r>
    </w:p>
    <w:p>
      <w:pPr>
        <w:numPr>
          <w:ilvl w:val="0"/>
          <w:numId w:val="1004"/>
        </w:numPr>
        <w:pStyle w:val="Compact"/>
      </w:pPr>
      <w:r>
        <w:rPr>
          <w:bCs/>
          <w:b/>
        </w:rPr>
        <w:t xml:space="preserve">Localized SEO:</w:t>
      </w:r>
      <w:r>
        <w:t xml:space="preserve"> </w:t>
      </w:r>
      <w:r>
        <w:t xml:space="preserve">Target keywords like "certified auditor Bogotá," "DIAN compliance audit Colombia," and "SME financial audit Colombia" to capture local search intent.</w:t>
      </w:r>
    </w:p>
    <w:p>
      <w:pPr>
        <w:numPr>
          <w:ilvl w:val="0"/>
          <w:numId w:val="1004"/>
        </w:numPr>
        <w:pStyle w:val="Compact"/>
      </w:pPr>
      <w:r>
        <w:rPr>
          <w:bCs/>
          <w:b/>
        </w:rPr>
        <w:t xml:space="preserve">LinkedIn &amp; WhatsApp Campaigns:</w:t>
      </w:r>
      <w:r>
        <w:t xml:space="preserve"> </w:t>
      </w:r>
      <w:r>
        <w:t xml:space="preserve">Bogotá businesses heavily use LinkedIn for B2B and WhatsApp for communication. We run targeted ads (with Spanish copy) highlighting success stories from clients in La Candelaria, Chapinero, and Santa Fe districts.</w:t>
      </w:r>
    </w:p>
    <w:p>
      <w:pPr>
        <w:numPr>
          <w:ilvl w:val="0"/>
          <w:numId w:val="1004"/>
        </w:numPr>
        <w:pStyle w:val="Compact"/>
      </w:pPr>
      <w:r>
        <w:rPr>
          <w:bCs/>
          <w:b/>
        </w:rPr>
        <w:t xml:space="preserve">Content Hub:</w:t>
      </w:r>
      <w:r>
        <w:t xml:space="preserve"> </w:t>
      </w:r>
      <w:r>
        <w:t xml:space="preserve">Publish weekly "Bogotá Audit Insights" blog posts on DIAN updates or tax trends (e.g., "2024 VAT Changes Impacting Bogotá Retailers") via our website and email newsletters.</w:t>
      </w:r>
    </w:p>
    <w:bookmarkEnd w:id="24"/>
    <w:bookmarkStart w:id="25" w:name="X9ec41dd841ce673055602a1a74d5a9626c60ec8"/>
    <w:p>
      <w:pPr>
        <w:pStyle w:val="Heading3"/>
      </w:pPr>
      <w:r>
        <w:t xml:space="preserve">2. Relationship Building in Colombia’s Business Ecosystem</w:t>
      </w:r>
    </w:p>
    <w:p>
      <w:pPr>
        <w:numPr>
          <w:ilvl w:val="0"/>
          <w:numId w:val="1005"/>
        </w:numPr>
        <w:pStyle w:val="Compact"/>
      </w:pPr>
      <w:r>
        <w:rPr>
          <w:bCs/>
          <w:b/>
        </w:rPr>
        <w:t xml:space="preserve">Cámara de Comercio De Bogotá Partnerships:</w:t>
      </w:r>
      <w:r>
        <w:t xml:space="preserve"> </w:t>
      </w:r>
      <w:r>
        <w:t xml:space="preserve">Sponsor events like "Financial Health for Bogotá SMEs" and offer free introductory workshops at their venues.</w:t>
      </w:r>
    </w:p>
    <w:p>
      <w:pPr>
        <w:numPr>
          <w:ilvl w:val="0"/>
          <w:numId w:val="1005"/>
        </w:numPr>
        <w:pStyle w:val="Compact"/>
      </w:pPr>
      <w:r>
        <w:rPr>
          <w:bCs/>
          <w:b/>
        </w:rPr>
        <w:t xml:space="preserve">Strategic Alliances:</w:t>
      </w:r>
      <w:r>
        <w:t xml:space="preserve"> </w:t>
      </w:r>
      <w:r>
        <w:t xml:space="preserve">Co-market with Bogotá-based legal firms (e.g., Vélez &amp; Asociados) and business consultants who refer clients needing audit services.</w:t>
      </w:r>
    </w:p>
    <w:p>
      <w:pPr>
        <w:numPr>
          <w:ilvl w:val="0"/>
          <w:numId w:val="1005"/>
        </w:numPr>
        <w:pStyle w:val="Compact"/>
      </w:pPr>
      <w:r>
        <w:rPr>
          <w:bCs/>
          <w:b/>
        </w:rPr>
        <w:t xml:space="preserve">Networking Events:</w:t>
      </w:r>
      <w:r>
        <w:t xml:space="preserve"> </w:t>
      </w:r>
      <w:r>
        <w:t xml:space="preserve">Host quarterly "Compliance Coffee Chats" at co-working spaces like WeWork Gran Colombia, targeting entrepreneurs in the city’s innovation corridors.</w:t>
      </w:r>
    </w:p>
    <w:bookmarkEnd w:id="25"/>
    <w:bookmarkStart w:id="26" w:name="X4d8d461ba663562c1c09a4ab26ff06e2350b159"/>
    <w:p>
      <w:pPr>
        <w:pStyle w:val="Heading3"/>
      </w:pPr>
      <w:r>
        <w:t xml:space="preserve">3. Pricing &amp; Service Innovation for Colombia Bogotá</w:t>
      </w:r>
    </w:p>
    <w:p>
      <w:pPr>
        <w:numPr>
          <w:ilvl w:val="0"/>
          <w:numId w:val="1006"/>
        </w:numPr>
        <w:pStyle w:val="Compact"/>
      </w:pPr>
      <w:r>
        <w:rPr>
          <w:bCs/>
          <w:b/>
        </w:rPr>
        <w:t xml:space="preserve">Transparent Tiered Pricing:</w:t>
      </w:r>
      <w:r>
        <w:t xml:space="preserve"> </w:t>
      </w:r>
      <w:r>
        <w:t xml:space="preserve">Offer "Compliance Starter" (statutory audit only), "Growth Accelerator" (audit + risk advisory), and "Enterprise Assurance" (full-scope with ESG) packages tailored to Bogotá market segments.</w:t>
      </w:r>
    </w:p>
    <w:p>
      <w:pPr>
        <w:numPr>
          <w:ilvl w:val="0"/>
          <w:numId w:val="1006"/>
        </w:numPr>
        <w:pStyle w:val="Compact"/>
      </w:pPr>
      <w:r>
        <w:rPr>
          <w:bCs/>
          <w:b/>
        </w:rPr>
        <w:t xml:space="preserve">Bogotá-Specific Guarantees:</w:t>
      </w:r>
      <w:r>
        <w:t xml:space="preserve"> </w:t>
      </w:r>
      <w:r>
        <w:t xml:space="preserve">Include a "DIAN Penalty Protection Guarantee"—we cover 100% of penalties due to audit errors for the first year.</w:t>
      </w:r>
    </w:p>
    <w:p>
      <w:pPr>
        <w:numPr>
          <w:ilvl w:val="0"/>
          <w:numId w:val="1006"/>
        </w:numPr>
        <w:pStyle w:val="Compact"/>
      </w:pPr>
      <w:r>
        <w:rPr>
          <w:bCs/>
          <w:b/>
        </w:rPr>
        <w:t xml:space="preserve">Free Initial Audit Gap Assessment:</w:t>
      </w:r>
      <w:r>
        <w:t xml:space="preserve"> </w:t>
      </w:r>
      <w:r>
        <w:t xml:space="preserve">A no-cost service identifying compliance risks unique to Bogotá businesses, driving conversion.</w:t>
      </w:r>
    </w:p>
    <w:bookmarkEnd w:id="26"/>
    <w:bookmarkEnd w:id="27"/>
    <w:bookmarkStart w:id="28" w:name="X1d4307e533ceeaa00463bb099d0e31b1cd49482"/>
    <w:p>
      <w:pPr>
        <w:pStyle w:val="Heading2"/>
      </w:pPr>
      <w:r>
        <w:t xml:space="preserve">Budget Allocation &amp; KPIs: Measuring Success in Colombia Bogotá</w:t>
      </w:r>
    </w:p>
    <w:p>
      <w:pPr>
        <w:pStyle w:val="FirstParagraph"/>
      </w:pPr>
      <w:r>
        <w:t xml:space="preserve">We allocate 60% of the marketing budget to digital acquisition (SEO, targeted ads), 30% to relationship-building (events, partnerships), and 10% to content. Key KPIs for Colombia Bogotá focus include:</w:t>
      </w:r>
    </w:p>
    <w:p>
      <w:pPr>
        <w:numPr>
          <w:ilvl w:val="0"/>
          <w:numId w:val="1007"/>
        </w:numPr>
        <w:pStyle w:val="Compact"/>
      </w:pPr>
      <w:r>
        <w:rPr>
          <w:bCs/>
          <w:b/>
        </w:rPr>
        <w:t xml:space="preserve">Lead Generation:</w:t>
      </w:r>
      <w:r>
        <w:t xml:space="preserve"> </w:t>
      </w:r>
      <w:r>
        <w:t xml:space="preserve">25 qualified leads/month from Bogotá-based businesses (target: 300 by Year-End).</w:t>
      </w:r>
    </w:p>
    <w:p>
      <w:pPr>
        <w:numPr>
          <w:ilvl w:val="0"/>
          <w:numId w:val="1007"/>
        </w:numPr>
        <w:pStyle w:val="Compact"/>
      </w:pPr>
      <w:r>
        <w:rPr>
          <w:bCs/>
          <w:b/>
        </w:rPr>
        <w:t xml:space="preserve">Conversion Rate:</w:t>
      </w:r>
      <w:r>
        <w:t xml:space="preserve"> </w:t>
      </w:r>
      <w:r>
        <w:t xml:space="preserve">35% of leads becoming clients (benchmark: industry average is 22%).</w:t>
      </w:r>
    </w:p>
    <w:p>
      <w:pPr>
        <w:numPr>
          <w:ilvl w:val="0"/>
          <w:numId w:val="1007"/>
        </w:numPr>
        <w:pStyle w:val="Compact"/>
      </w:pPr>
      <w:r>
        <w:rPr>
          <w:bCs/>
          <w:b/>
        </w:rPr>
        <w:t xml:space="preserve">Client Retention:</w:t>
      </w:r>
      <w:r>
        <w:t xml:space="preserve"> </w:t>
      </w:r>
      <w:r>
        <w:t xml:space="preserve">&gt;85% renewal rate for Bogotá-based SMEs (critical due to high regulatory churn).</w:t>
      </w:r>
    </w:p>
    <w:p>
      <w:pPr>
        <w:numPr>
          <w:ilvl w:val="0"/>
          <w:numId w:val="1007"/>
        </w:numPr>
        <w:pStyle w:val="Compact"/>
      </w:pPr>
      <w:r>
        <w:rPr>
          <w:bCs/>
          <w:b/>
        </w:rPr>
        <w:t xml:space="preserve">Mindshare:</w:t>
      </w:r>
      <w:r>
        <w:t xml:space="preserve"> </w:t>
      </w:r>
      <w:r>
        <w:t xml:space="preserve">Achieve top-3 visibility in "audit services" Google searches for "Bogotá" within 12 months.</w:t>
      </w:r>
    </w:p>
    <w:bookmarkEnd w:id="28"/>
    <w:bookmarkStart w:id="29" w:name="X7711938bcdba868ebef44110468d73542ef1c03"/>
    <w:p>
      <w:pPr>
        <w:pStyle w:val="Heading2"/>
      </w:pPr>
      <w:r>
        <w:t xml:space="preserve">Conclusion: Becoming Bogotá's Trusted Auditor Partner</w:t>
      </w:r>
    </w:p>
    <w:p>
      <w:pPr>
        <w:pStyle w:val="FirstParagraph"/>
      </w:pPr>
      <w:r>
        <w:t xml:space="preserve">This Marketing Plan positions our</w:t>
      </w:r>
      <w:r>
        <w:t xml:space="preserve"> </w:t>
      </w:r>
      <w:r>
        <w:rPr>
          <w:bCs/>
          <w:b/>
        </w:rPr>
        <w:t xml:space="preserve">Auditor</w:t>
      </w:r>
      <w:r>
        <w:t xml:space="preserve"> </w:t>
      </w:r>
      <w:r>
        <w:t xml:space="preserve">services as the indispensable solution for businesses navigating Colombia Bogotá’s financial complexities. By embedding ourselves within Bogotá’s commercial fabric—through localized expertise, strategic partnerships, and culturally resonant communication—we will dominate the premium audit market in Colombia's most critical city. Success means not just winning contracts, but becoming synonymous with reliability and growth in</w:t>
      </w:r>
      <w:r>
        <w:t xml:space="preserve"> </w:t>
      </w:r>
      <w:r>
        <w:rPr>
          <w:bCs/>
          <w:b/>
        </w:rPr>
        <w:t xml:space="preserve">Colombia Bogotá</w:t>
      </w:r>
      <w:r>
        <w:t xml:space="preserve">. With this focused approach, we project 40% revenue growth within 18 months, establishing a benchmark for auditor excellence across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Colombia Bogotá</dc:title>
  <dc:creator/>
  <dc:language>en</dc:language>
  <cp:keywords/>
  <dcterms:created xsi:type="dcterms:W3CDTF">2025-12-12T05:31:39Z</dcterms:created>
  <dcterms:modified xsi:type="dcterms:W3CDTF">2025-12-12T05:31:39Z</dcterms:modified>
</cp:coreProperties>
</file>

<file path=docProps/custom.xml><?xml version="1.0" encoding="utf-8"?>
<Properties xmlns="http://schemas.openxmlformats.org/officeDocument/2006/custom-properties" xmlns:vt="http://schemas.openxmlformats.org/officeDocument/2006/docPropsVTypes"/>
</file>