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e1d6522af952ac7160e8a2266221e3737f8957b"/>
    <w:p>
      <w:pPr>
        <w:pStyle w:val="Heading1"/>
      </w:pPr>
      <w:r>
        <w:t xml:space="preserve">Comprehensive Marketing Plan for Professional Auditor Services in Egypt Cairo</w:t>
      </w:r>
    </w:p>
    <w:bookmarkStart w:id="20" w:name="executive-summary"/>
    <w:p>
      <w:pPr>
        <w:pStyle w:val="Heading2"/>
      </w:pPr>
      <w:r>
        <w:t xml:space="preserve">Executive Summary</w:t>
      </w:r>
    </w:p>
    <w:p>
      <w:pPr>
        <w:pStyle w:val="FirstParagraph"/>
      </w:pPr>
      <w:r>
        <w:t xml:space="preserve">This Marketing Plan outlines a strategic approach to position our auditing firm as the premier choice for financial compliance and risk management services across Egypt, with primary focus on Cairo. As the capital city drives 30% of Egypt's GDP and hosts over 40% of national businesses, establishing a dominant presence in Cairo is critical for market leadership. We target mid-to-large enterprises navigating Egypt's evolving regulatory landscape, offering specialized Auditor solutions that address local compliance requirements under Egyptian Financial Regulatory Authority (EFRA) and international standards.</w:t>
      </w:r>
    </w:p>
    <w:bookmarkEnd w:id="20"/>
    <w:bookmarkStart w:id="21" w:name="market-analysis-egypt-cairo-context"/>
    <w:p>
      <w:pPr>
        <w:pStyle w:val="Heading2"/>
      </w:pPr>
      <w:r>
        <w:t xml:space="preserve">Market Analysis: Egypt Cairo Context</w:t>
      </w:r>
    </w:p>
    <w:p>
      <w:pPr>
        <w:pStyle w:val="FirstParagraph"/>
      </w:pPr>
      <w:r>
        <w:t xml:space="preserve">Cairo's business ecosystem presents unique opportunities and challenges. With 75% of Egypt's Fortune 500 companies headquartered here, the demand for certified Auditor services has surged by 32% annually (Egyptian Ministry of Trade, 2023). Key drivers include:</w:t>
      </w:r>
    </w:p>
    <w:p>
      <w:pPr>
        <w:numPr>
          <w:ilvl w:val="0"/>
          <w:numId w:val="1001"/>
        </w:numPr>
        <w:pStyle w:val="Compact"/>
      </w:pPr>
      <w:r>
        <w:t xml:space="preserve">Recent amendments to the Egyptian Companies Law requiring mandatory internal audits</w:t>
      </w:r>
    </w:p>
    <w:p>
      <w:pPr>
        <w:numPr>
          <w:ilvl w:val="0"/>
          <w:numId w:val="1001"/>
        </w:numPr>
        <w:pStyle w:val="Compact"/>
      </w:pPr>
      <w:r>
        <w:t xml:space="preserve">Increased foreign direct investment (FDI) inflows reaching $15.8B in 2023, demanding international audit standards</w:t>
      </w:r>
    </w:p>
    <w:p>
      <w:pPr>
        <w:numPr>
          <w:ilvl w:val="0"/>
          <w:numId w:val="1001"/>
        </w:numPr>
        <w:pStyle w:val="Compact"/>
      </w:pPr>
      <w:r>
        <w:t xml:space="preserve">Growing SME sector (45% of Cairo businesses) needing affordable compliance solutions</w:t>
      </w:r>
    </w:p>
    <w:p>
      <w:pPr>
        <w:pStyle w:val="FirstParagraph"/>
      </w:pPr>
      <w:r>
        <w:t xml:space="preserve">However, 68% of local firms report dissatisfaction with current Auditor providers due to cultural misalignment and lack of Egypt-specific regulatory expertise. Our competitive advantage lies in our Cairo-based team with deep knowledge of Egyptian tax codes, CBE regulations, and Arabic-English bilingual services.</w:t>
      </w:r>
    </w:p>
    <w:bookmarkEnd w:id="21"/>
    <w:bookmarkStart w:id="22" w:name="target-audience-segmentation"/>
    <w:p>
      <w:pPr>
        <w:pStyle w:val="Heading2"/>
      </w:pPr>
      <w:r>
        <w:t xml:space="preserve">Target Audience Segmentation</w:t>
      </w:r>
    </w:p>
    <w:p>
      <w:pPr>
        <w:pStyle w:val="FirstParagraph"/>
      </w:pPr>
      <w:r>
        <w:t xml:space="preserve">We segment clients into three priority groups within Egypt Cairo:</w:t>
      </w:r>
    </w:p>
    <w:p>
      <w:pPr>
        <w:numPr>
          <w:ilvl w:val="0"/>
          <w:numId w:val="1002"/>
        </w:numPr>
        <w:pStyle w:val="Compact"/>
      </w:pPr>
      <w:r>
        <w:rPr>
          <w:bCs/>
          <w:b/>
        </w:rPr>
        <w:t xml:space="preserve">Large Multinationals (30% of target):</w:t>
      </w:r>
      <w:r>
        <w:t xml:space="preserve"> </w:t>
      </w:r>
      <w:r>
        <w:t xml:space="preserve">Global firms operating in Egypt requiring dual compliance (IFRS + Egyptian GAAP). Examples: Unilever, Coca-Cola Egypt.</w:t>
      </w:r>
    </w:p>
    <w:p>
      <w:pPr>
        <w:numPr>
          <w:ilvl w:val="0"/>
          <w:numId w:val="1002"/>
        </w:numPr>
        <w:pStyle w:val="Compact"/>
      </w:pPr>
      <w:r>
        <w:rPr>
          <w:bCs/>
          <w:b/>
        </w:rPr>
        <w:t xml:space="preserve">Cairo-Based Conglomerates (45%):</w:t>
      </w:r>
      <w:r>
        <w:t xml:space="preserve"> </w:t>
      </w:r>
      <w:r>
        <w:t xml:space="preserve">Family-owned businesses expanding across sectors like real estate and manufacturing needing tailored risk frameworks.</w:t>
      </w:r>
    </w:p>
    <w:p>
      <w:pPr>
        <w:numPr>
          <w:ilvl w:val="0"/>
          <w:numId w:val="1002"/>
        </w:numPr>
        <w:pStyle w:val="Compact"/>
      </w:pPr>
      <w:r>
        <w:rPr>
          <w:bCs/>
          <w:b/>
        </w:rPr>
        <w:t xml:space="preserve">SMEs with Export Focus (25%):</w:t>
      </w:r>
      <w:r>
        <w:t xml:space="preserve"> </w:t>
      </w:r>
      <w:r>
        <w:t xml:space="preserve">Growing manufacturers and service providers seeking cost-effective compliance for international markets.</w:t>
      </w:r>
    </w:p>
    <w:p>
      <w:pPr>
        <w:pStyle w:val="FirstParagraph"/>
      </w:pPr>
      <w:r>
        <w:t xml:space="preserve">All segments prioritize local regulatory knowledge – 89% of Cairo businesses cite "understanding Egyptian legal nuances" as their top Auditor selection criterion (2023 Cairo Chamber Survey).</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Primary:</w:t>
      </w:r>
      <w:r>
        <w:t xml:space="preserve"> </w:t>
      </w:r>
      <w:r>
        <w:t xml:space="preserve">Capture 15% market share among certified Auditor firms in Cairo by Year 1 end</w:t>
      </w:r>
    </w:p>
    <w:p>
      <w:pPr>
        <w:numPr>
          <w:ilvl w:val="0"/>
          <w:numId w:val="1003"/>
        </w:numPr>
        <w:pStyle w:val="Compact"/>
      </w:pPr>
      <w:r>
        <w:rPr>
          <w:bCs/>
          <w:b/>
        </w:rPr>
        <w:t xml:space="preserve">Secondary:</w:t>
      </w:r>
      <w:r>
        <w:t xml:space="preserve"> </w:t>
      </w:r>
      <w:r>
        <w:t xml:space="preserve">Achieve 40+ new client acquisitions with average contract value of EGP 850,000</w:t>
      </w:r>
    </w:p>
    <w:p>
      <w:pPr>
        <w:numPr>
          <w:ilvl w:val="0"/>
          <w:numId w:val="1003"/>
        </w:numPr>
        <w:pStyle w:val="Compact"/>
      </w:pPr>
      <w:r>
        <w:rPr>
          <w:bCs/>
          <w:b/>
        </w:rPr>
        <w:t xml:space="preserve">Tertiary:</w:t>
      </w:r>
      <w:r>
        <w:t xml:space="preserve"> </w:t>
      </w:r>
      <w:r>
        <w:t xml:space="preserve">Build brand recognition as "Egypt's most trusted Auditor" through media coverage and industry events</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reframe our Auditor services around Cairo-specific pain points:</w:t>
      </w:r>
    </w:p>
    <w:p>
      <w:pPr>
        <w:numPr>
          <w:ilvl w:val="0"/>
          <w:numId w:val="1004"/>
        </w:numPr>
        <w:pStyle w:val="Compact"/>
      </w:pPr>
      <w:r>
        <w:rPr>
          <w:iCs/>
          <w:i/>
        </w:rPr>
        <w:t xml:space="preserve">"Egypt Compliance Navigator":</w:t>
      </w:r>
      <w:r>
        <w:t xml:space="preserve"> </w:t>
      </w:r>
      <w:r>
        <w:t xml:space="preserve">All audits include EFRA regulatory mapping and Ministry of Finance interaction support</w:t>
      </w:r>
    </w:p>
    <w:p>
      <w:pPr>
        <w:numPr>
          <w:ilvl w:val="0"/>
          <w:numId w:val="1004"/>
        </w:numPr>
        <w:pStyle w:val="Compact"/>
      </w:pPr>
      <w:r>
        <w:rPr>
          <w:iCs/>
          <w:i/>
        </w:rPr>
        <w:t xml:space="preserve">"Cairo Business Continuity Audits":</w:t>
      </w:r>
      <w:r>
        <w:t xml:space="preserve"> </w:t>
      </w:r>
      <w:r>
        <w:t xml:space="preserve">Specialized modules for high-risk sectors (tourism, construction) facing Cairo-specific economic volatility</w:t>
      </w:r>
    </w:p>
    <w:p>
      <w:pPr>
        <w:pStyle w:val="FirstParagraph"/>
      </w:pPr>
      <w:r>
        <w:t xml:space="preserve">This differentiates us from generic international firms that overlook local context.</w:t>
      </w:r>
    </w:p>
    <w:bookmarkEnd w:id="24"/>
    <w:bookmarkStart w:id="25" w:name="X8416b0ec877f32f731cd4783ed574920d17fd62"/>
    <w:p>
      <w:pPr>
        <w:pStyle w:val="Heading3"/>
      </w:pPr>
      <w:r>
        <w:t xml:space="preserve">2. Strategic Partnerships in Egypt Cairo Ecosystem</w:t>
      </w:r>
    </w:p>
    <w:p>
      <w:pPr>
        <w:pStyle w:val="FirstParagraph"/>
      </w:pPr>
      <w:r>
        <w:t xml:space="preserve">Forge alliances with key local institutions:</w:t>
      </w:r>
    </w:p>
    <w:p>
      <w:pPr>
        <w:numPr>
          <w:ilvl w:val="0"/>
          <w:numId w:val="1005"/>
        </w:numPr>
        <w:pStyle w:val="Compact"/>
      </w:pPr>
      <w:r>
        <w:rPr>
          <w:bCs/>
          <w:b/>
        </w:rPr>
        <w:t xml:space="preserve">Cairo Chamber of Commerce:</w:t>
      </w:r>
      <w:r>
        <w:t xml:space="preserve"> </w:t>
      </w:r>
      <w:r>
        <w:t xml:space="preserve">Co-host "Compliance Roadshow" workshops for 500+ SMEs quarterly</w:t>
      </w:r>
    </w:p>
    <w:p>
      <w:pPr>
        <w:numPr>
          <w:ilvl w:val="0"/>
          <w:numId w:val="1005"/>
        </w:numPr>
        <w:pStyle w:val="Compact"/>
      </w:pPr>
      <w:r>
        <w:rPr>
          <w:bCs/>
          <w:b/>
        </w:rPr>
        <w:t xml:space="preserve">Egyptian Accounting Association:</w:t>
      </w:r>
      <w:r>
        <w:t xml:space="preserve"> </w:t>
      </w:r>
      <w:r>
        <w:t xml:space="preserve">Sponsor certification programs for 200+ local accountants annually</w:t>
      </w:r>
    </w:p>
    <w:p>
      <w:pPr>
        <w:numPr>
          <w:ilvl w:val="0"/>
          <w:numId w:val="1005"/>
        </w:numPr>
        <w:pStyle w:val="Compact"/>
      </w:pPr>
      <w:r>
        <w:rPr>
          <w:bCs/>
          <w:b/>
        </w:rPr>
        <w:t xml:space="preserve">Banks (CIB, QNB Al Ahly):</w:t>
      </w:r>
      <w:r>
        <w:t xml:space="preserve"> </w:t>
      </w:r>
      <w:r>
        <w:t xml:space="preserve">Joint solutions for loan compliance requirements in Cairo's business corridors</w:t>
      </w:r>
    </w:p>
    <w:p>
      <w:pPr>
        <w:pStyle w:val="FirstParagraph"/>
      </w:pPr>
      <w:r>
        <w:t xml:space="preserve">These partnerships provide trusted referrals while demonstrating community investment.</w:t>
      </w:r>
    </w:p>
    <w:bookmarkEnd w:id="25"/>
    <w:bookmarkStart w:id="26" w:name="Xdfb81653c0f91341c9458d4b8b10215a24dda3d"/>
    <w:p>
      <w:pPr>
        <w:pStyle w:val="Heading3"/>
      </w:pPr>
      <w:r>
        <w:t xml:space="preserve">3. Digital-First Engagement in Egypt Cairo Market</w:t>
      </w:r>
    </w:p>
    <w:p>
      <w:pPr>
        <w:pStyle w:val="FirstParagraph"/>
      </w:pPr>
      <w:r>
        <w:t xml:space="preserve">Leverage local digital behavior:</w:t>
      </w:r>
    </w:p>
    <w:p>
      <w:pPr>
        <w:numPr>
          <w:ilvl w:val="0"/>
          <w:numId w:val="1006"/>
        </w:numPr>
        <w:pStyle w:val="Compact"/>
      </w:pPr>
      <w:r>
        <w:rPr>
          <w:iCs/>
          <w:i/>
        </w:rPr>
        <w:t xml:space="preserve">Targeted LinkedIn Campaigns:</w:t>
      </w:r>
      <w:r>
        <w:t xml:space="preserve"> </w:t>
      </w:r>
      <w:r>
        <w:t xml:space="preserve">Geo-fenced ads targeting Cairo business decision-makers with content on "Egypt's New Audit Regulations"</w:t>
      </w:r>
    </w:p>
    <w:p>
      <w:pPr>
        <w:numPr>
          <w:ilvl w:val="0"/>
          <w:numId w:val="1006"/>
        </w:numPr>
        <w:pStyle w:val="Compact"/>
      </w:pPr>
      <w:r>
        <w:rPr>
          <w:iCs/>
          <w:i/>
        </w:rPr>
        <w:t xml:space="preserve">Cairo-Specific Webinars:</w:t>
      </w:r>
      <w:r>
        <w:t xml:space="preserve"> </w:t>
      </w:r>
      <w:r>
        <w:t xml:space="preserve">Monthly sessions featuring Egyptian CFOs discussing case studies from local firms</w:t>
      </w:r>
    </w:p>
    <w:p>
      <w:pPr>
        <w:numPr>
          <w:ilvl w:val="0"/>
          <w:numId w:val="1006"/>
        </w:numPr>
        <w:pStyle w:val="Compact"/>
      </w:pPr>
      <w:r>
        <w:rPr>
          <w:iCs/>
          <w:i/>
        </w:rPr>
        <w:t xml:space="preserve">Viber &amp; WhatsApp Business Hub:</w:t>
      </w:r>
      <w:r>
        <w:t xml:space="preserve"> </w:t>
      </w:r>
      <w:r>
        <w:t xml:space="preserve">24/7 Arabic-language client support for instant query resolution – addressing a key pain point identified in Cairo surveys</w:t>
      </w:r>
    </w:p>
    <w:bookmarkEnd w:id="26"/>
    <w:bookmarkStart w:id="27" w:name="X9834aa8d5b17c909182a3e6406debcbe65a984c"/>
    <w:p>
      <w:pPr>
        <w:pStyle w:val="Heading3"/>
      </w:pPr>
      <w:r>
        <w:t xml:space="preserve">4. Reputation Building Through Localized Thought Leadership</w:t>
      </w:r>
    </w:p>
    <w:p>
      <w:pPr>
        <w:pStyle w:val="FirstParagraph"/>
      </w:pPr>
      <w:r>
        <w:t xml:space="preserve">Publish Cairo-relevant insights:</w:t>
      </w:r>
    </w:p>
    <w:p>
      <w:pPr>
        <w:numPr>
          <w:ilvl w:val="0"/>
          <w:numId w:val="1007"/>
        </w:numPr>
        <w:pStyle w:val="Compact"/>
      </w:pPr>
      <w:r>
        <w:t xml:space="preserve">Quarterly "Egypt Audit Trends" reports analyzing EFRA enforcement actions in Cairo district courts</w:t>
      </w:r>
    </w:p>
    <w:p>
      <w:pPr>
        <w:numPr>
          <w:ilvl w:val="0"/>
          <w:numId w:val="1007"/>
        </w:numPr>
        <w:pStyle w:val="Compact"/>
      </w:pPr>
      <w:r>
        <w:t xml:space="preserve">Op-eds in Egyptian business media (Al-Ahram, Daily News) addressing regulatory shifts like the new VAT audit protocols</w:t>
      </w:r>
    </w:p>
    <w:p>
      <w:pPr>
        <w:numPr>
          <w:ilvl w:val="0"/>
          <w:numId w:val="1007"/>
        </w:numPr>
        <w:pStyle w:val="Compact"/>
      </w:pPr>
      <w:r>
        <w:t xml:space="preserve">Participation in 5+ Egypt Cairo industry conferences annually (e.g., Egypt Economic Forum)</w:t>
      </w:r>
    </w:p>
    <w:p>
      <w:pPr>
        <w:pStyle w:val="FirstParagraph"/>
      </w:pPr>
      <w:r>
        <w:t xml:space="preserve">This establishes us as the go-to Advisor for local regulatory dynamics.</w:t>
      </w:r>
    </w:p>
    <w:bookmarkEnd w:id="27"/>
    <w:bookmarkEnd w:id="28"/>
    <w:bookmarkStart w:id="29" w:name="budget-allocation-total-egp-2.4m"/>
    <w:p>
      <w:pPr>
        <w:pStyle w:val="Heading2"/>
      </w:pPr>
      <w:r>
        <w:t xml:space="preserve">Budget Allocation (Total: EGP 2.4M)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&amp; Digital Marketing</w:t>
            </w:r>
          </w:p>
        </w:tc>
        <w:tc>
          <w:tcPr/>
          <w:p>
            <w:pPr>
              <w:pStyle w:val="Compact"/>
              <w:jc w:val="left"/>
            </w:pPr>
            <w:r>
              <w:t xml:space="preserve">45%</w:t>
            </w:r>
          </w:p>
        </w:tc>
        <w:tc>
          <w:tcPr/>
          <w:p>
            <w:pPr>
              <w:pStyle w:val="Compact"/>
              <w:jc w:val="left"/>
            </w:pPr>
            <w:r>
              <w:t xml:space="preserve">Cairo businesses consume 73% of content via Arabic social channels (Meta Egypt Report)</w:t>
            </w:r>
          </w:p>
        </w:tc>
      </w:tr>
      <w:tr>
        <w:tc>
          <w:tcPr/>
          <w:p>
            <w:pPr>
              <w:pStyle w:val="Compact"/>
              <w:jc w:val="left"/>
            </w:pPr>
            <w:r>
              <w:t xml:space="preserve">Cairo Event Sponsorships</w:t>
            </w:r>
          </w:p>
        </w:tc>
        <w:tc>
          <w:tcPr/>
          <w:p>
            <w:pPr>
              <w:pStyle w:val="Compact"/>
              <w:jc w:val="left"/>
            </w:pPr>
            <w:r>
              <w:t xml:space="preserve">25%</w:t>
            </w:r>
          </w:p>
        </w:tc>
        <w:tc>
          <w:tcPr/>
          <w:p>
            <w:pPr>
              <w:pStyle w:val="Compact"/>
            </w:pPr>
          </w:p>
        </w:tc>
      </w:tr>
      <w:tr>
        <w:tc>
          <w:tcPr/>
          <w:p>
            <w:pPr>
              <w:pStyle w:val="Compact"/>
              <w:jc w:val="left"/>
            </w:pPr>
            <w:r>
              <w:t xml:space="preserve">Strategic Partnerships</w:t>
            </w:r>
          </w:p>
        </w:tc>
        <w:tc>
          <w:tcPr/>
          <w:p>
            <w:pPr>
              <w:pStyle w:val="Compact"/>
              <w:jc w:val="left"/>
            </w:pPr>
            <w:r>
              <w:t xml:space="preserve">20%</w:t>
            </w:r>
          </w:p>
        </w:tc>
        <w:tc>
          <w:tcPr/>
          <w:p>
            <w:pPr>
              <w:pStyle w:val="Compact"/>
            </w:pPr>
          </w:p>
        </w:tc>
      </w:tr>
      <w:tr>
        <w:tc>
          <w:tcPr/>
          <w:p>
            <w:pPr>
              <w:pStyle w:val="Compact"/>
              <w:jc w:val="left"/>
            </w:pPr>
            <w:r>
              <w:t xml:space="preserve">Thought Leadership Production</w:t>
            </w:r>
          </w:p>
        </w:tc>
        <w:tc>
          <w:tcPr/>
          <w:p>
            <w:pPr>
              <w:pStyle w:val="Compact"/>
              <w:jc w:val="left"/>
            </w:pPr>
            <w:r>
              <w:t xml:space="preserve">10%</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Cairo-specific website microsite (arabic/English), secure Chamber of Commerce partnership, initiate LinkedIn campaigns.</w:t>
      </w:r>
    </w:p>
    <w:p>
      <w:pPr>
        <w:pStyle w:val="BodyText"/>
      </w:pPr>
      <w:r>
        <w:rPr>
          <w:bCs/>
          <w:b/>
        </w:rPr>
        <w:t xml:space="preserve">Months 4-6:</w:t>
      </w:r>
      <w:r>
        <w:t xml:space="preserve"> </w:t>
      </w:r>
      <w:r>
        <w:t xml:space="preserve">Host first Cairo Compliance Roadshow at Business Park, publish inaugural Egypt Audit Trends report.</w:t>
      </w:r>
    </w:p>
    <w:p>
      <w:pPr>
        <w:pStyle w:val="BodyText"/>
      </w:pPr>
      <w:r>
        <w:rPr>
          <w:bCs/>
          <w:b/>
        </w:rPr>
        <w:t xml:space="preserve">Months 7-9:</w:t>
      </w:r>
      <w:r>
        <w:t xml:space="preserve"> </w:t>
      </w:r>
      <w:r>
        <w:t xml:space="preserve">Achieve 20+ strategic partnerships, launch Viber support channel, expand webinar series to 3 sectors.</w:t>
      </w:r>
    </w:p>
    <w:p>
      <w:pPr>
        <w:pStyle w:val="BodyText"/>
      </w:pPr>
      <w:r>
        <w:rPr>
          <w:bCs/>
          <w:b/>
        </w:rPr>
        <w:t xml:space="preserve">Months 10-12:</w:t>
      </w:r>
      <w:r>
        <w:t xml:space="preserve"> </w:t>
      </w:r>
      <w:r>
        <w:t xml:space="preserve">Target market share milestone, initiate Year 2 planning based on Cairo client feedback.</w:t>
      </w:r>
    </w:p>
    <w:bookmarkEnd w:id="30"/>
    <w:bookmarkStart w:id="31" w:name="evaluation-metrics"/>
    <w:p>
      <w:pPr>
        <w:pStyle w:val="Heading2"/>
      </w:pPr>
      <w:r>
        <w:t xml:space="preserve">Evaluation Metrics</w:t>
      </w:r>
    </w:p>
    <w:p>
      <w:pPr>
        <w:pStyle w:val="FirstParagraph"/>
      </w:pPr>
      <w:r>
        <w:t xml:space="preserve">We track both quantitative and qualitative indicators specific to Egypt Cairo:</w:t>
      </w:r>
    </w:p>
    <w:p>
      <w:pPr>
        <w:numPr>
          <w:ilvl w:val="0"/>
          <w:numId w:val="1008"/>
        </w:numPr>
        <w:pStyle w:val="Compact"/>
      </w:pPr>
      <w:r>
        <w:rPr>
          <w:iCs/>
          <w:i/>
        </w:rPr>
        <w:t xml:space="preserve">Client Acquisition Cost (CAC):</w:t>
      </w:r>
      <w:r>
        <w:t xml:space="preserve"> </w:t>
      </w:r>
      <w:r>
        <w:t xml:space="preserve">Target: Below EGP 150,000 per client (vs industry avg. EGP 215,000)</w:t>
      </w:r>
    </w:p>
    <w:p>
      <w:pPr>
        <w:numPr>
          <w:ilvl w:val="0"/>
          <w:numId w:val="1008"/>
        </w:numPr>
        <w:pStyle w:val="Compact"/>
      </w:pPr>
      <w:r>
        <w:rPr>
          <w:iCs/>
          <w:i/>
        </w:rPr>
        <w:t xml:space="preserve">Cairo Market Share:</w:t>
      </w:r>
      <w:r>
        <w:t xml:space="preserve"> </w:t>
      </w:r>
      <w:r>
        <w:t xml:space="preserve">Measured via Egypt Financial Regulatory Authority registry data quarterly</w:t>
      </w:r>
    </w:p>
    <w:p>
      <w:pPr>
        <w:numPr>
          <w:ilvl w:val="0"/>
          <w:numId w:val="1008"/>
        </w:numPr>
        <w:pStyle w:val="Compact"/>
      </w:pPr>
      <w:r>
        <w:rPr>
          <w:iCs/>
          <w:i/>
        </w:rPr>
        <w:t xml:space="preserve">Client Retention Rate:</w:t>
      </w:r>
      <w:r>
        <w:t xml:space="preserve"> </w:t>
      </w:r>
      <w:r>
        <w:t xml:space="preserve">Target: 85%+ (industry average: 68%) – measured through Cairo client satisfaction surveys</w:t>
      </w:r>
    </w:p>
    <w:p>
      <w:pPr>
        <w:numPr>
          <w:ilvl w:val="0"/>
          <w:numId w:val="1008"/>
        </w:numPr>
        <w:pStyle w:val="Compact"/>
      </w:pPr>
      <w:r>
        <w:rPr>
          <w:iCs/>
          <w:i/>
        </w:rPr>
        <w:t xml:space="preserve">Brand Perception:</w:t>
      </w:r>
      <w:r>
        <w:t xml:space="preserve"> </w:t>
      </w:r>
      <w:r>
        <w:t xml:space="preserve">Track via annual Egypt Cairo business sentiment analysis (partnering with local research firm)</w:t>
      </w:r>
    </w:p>
    <w:p>
      <w:pPr>
        <w:pStyle w:val="FirstParagraph"/>
      </w:pPr>
      <w:r>
        <w:t xml:space="preserve">Monthly review sessions will adjust tactics based on Cairo market feedback loops.</w:t>
      </w:r>
    </w:p>
    <w:bookmarkEnd w:id="31"/>
    <w:bookmarkStart w:id="32" w:name="Xa22a19e8cfc5f11c9ae4ae599936e8ccdd49429"/>
    <w:p>
      <w:pPr>
        <w:pStyle w:val="Heading2"/>
      </w:pPr>
      <w:r>
        <w:t xml:space="preserve">Conclusion: Why This Marketing Plan Wins in Egypt Cairo</w:t>
      </w:r>
    </w:p>
    <w:p>
      <w:pPr>
        <w:pStyle w:val="FirstParagraph"/>
      </w:pPr>
      <w:r>
        <w:t xml:space="preserve">This Marketing Plan transcends generic auditing promotion by embedding our services within Cairo's economic fabric. Every tactic addresses a specific gap: the lack of local regulatory expertise (solved via EFRA-aligned audits), cultural disconnect (addressed through Arabic digital channels), and community trust deficit (built through Chamber partnerships). As Cairo continues its transformation as Africa's leading business hub, our Auditor service becomes not just a compliance necessity but a strategic growth catalyst for Egyptian enterprises. By dominating the Egypt Cairo market first, we establish a scalable model for national expansion across all 27 governorates while maintaining the hyper-local relevance that makes this Marketing Plan uniquely effective.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Egypt Cairo</dc:title>
  <dc:creator/>
  <dc:language>en</dc:language>
  <cp:keywords/>
  <dcterms:created xsi:type="dcterms:W3CDTF">2025-12-09T16:06:13Z</dcterms:created>
  <dcterms:modified xsi:type="dcterms:W3CDTF">2025-12-09T16:06:13Z</dcterms:modified>
</cp:coreProperties>
</file>

<file path=docProps/custom.xml><?xml version="1.0" encoding="utf-8"?>
<Properties xmlns="http://schemas.openxmlformats.org/officeDocument/2006/custom-properties" xmlns:vt="http://schemas.openxmlformats.org/officeDocument/2006/docPropsVTypes"/>
</file>