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6da37974da124665e55775c3fdc741f28668e33"/>
    <w:p>
      <w:pPr>
        <w:pStyle w:val="Heading1"/>
      </w:pPr>
      <w:r>
        <w:t xml:space="preserve">Comprehensive Marketing Plan for Professional Auditor Services in Germany Berlin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auditor services within the competitive business landscape of Germany Berlin. As an independent accounting and auditing firm, we recognize Berlin's status as Germany's financial innovation hub with over 150,000 companies requiring specialized compliance solutions. Our strategy targets mid-sized enterprises navigating complex regulatory environments post-GDPR and EU tax reforms. This plan secures a 12% market share in Berlin's corporate audit segment within three years through hyper-localized service positioning, digital lead generation, and strategic partnerships with Berlin-based business associations. The core proposition positions our firm as the definitive</w:t>
      </w:r>
      <w:r>
        <w:t xml:space="preserve"> </w:t>
      </w:r>
      <w:r>
        <w:rPr>
          <w:iCs/>
          <w:i/>
        </w:rPr>
        <w:t xml:space="preserve">Auditor</w:t>
      </w:r>
      <w:r>
        <w:t xml:space="preserve"> </w:t>
      </w:r>
      <w:r>
        <w:t xml:space="preserve">for German businesses demanding transparent, tech-enabled compliance solutions.</w:t>
      </w:r>
    </w:p>
    <w:bookmarkEnd w:id="20"/>
    <w:bookmarkStart w:id="21" w:name="market-analysis-germany-berlin-context"/>
    <w:p>
      <w:pPr>
        <w:pStyle w:val="Heading2"/>
      </w:pPr>
      <w:r>
        <w:t xml:space="preserve">Market Analysis: Germany Berlin Context</w:t>
      </w:r>
    </w:p>
    <w:p>
      <w:pPr>
        <w:pStyle w:val="FirstParagraph"/>
      </w:pPr>
      <w:r>
        <w:t xml:space="preserve">Berlin's economic ecosystem presents unique opportunities for specialized auditor services. With 47% of German startups choosing Berlin as their base (Berlin Senate Data, 2023), and stringent requirements under the German Commercial Code (HGB) and EU Audit Directive, demand for qualified auditors is surging. Key insights include:</w:t>
      </w:r>
    </w:p>
    <w:p>
      <w:pPr>
        <w:numPr>
          <w:ilvl w:val="0"/>
          <w:numId w:val="1001"/>
        </w:numPr>
        <w:pStyle w:val="Compact"/>
      </w:pPr>
      <w:r>
        <w:t xml:space="preserve">68% of Berlin SMEs report audit compliance costs exceeding revenue growth in 2023 (German Federal Statistical Office)</w:t>
      </w:r>
    </w:p>
    <w:p>
      <w:pPr>
        <w:numPr>
          <w:ilvl w:val="0"/>
          <w:numId w:val="1001"/>
        </w:numPr>
        <w:pStyle w:val="Compact"/>
      </w:pPr>
      <w:r>
        <w:t xml:space="preserve">Only 19% of Berlin-based auditors offer real-time digital compliance dashboards (Berlin Chamber of Commerce Survey)</w:t>
      </w:r>
    </w:p>
    <w:p>
      <w:pPr>
        <w:numPr>
          <w:ilvl w:val="0"/>
          <w:numId w:val="1001"/>
        </w:numPr>
        <w:pStyle w:val="Compact"/>
      </w:pPr>
      <w:r>
        <w:t xml:space="preserve">Rising regulatory complexity: New EU Digital Operational Resilience Act (DORA) requires specialized audit expertise</w:t>
      </w:r>
    </w:p>
    <w:bookmarkEnd w:id="21"/>
    <w:bookmarkStart w:id="22" w:name="target-audience-in-germany-berlin"/>
    <w:p>
      <w:pPr>
        <w:pStyle w:val="Heading2"/>
      </w:pPr>
      <w:r>
        <w:t xml:space="preserve">Target Audience in Germany Berlin</w:t>
      </w:r>
    </w:p>
    <w:p>
      <w:pPr>
        <w:pStyle w:val="FirstParagraph"/>
      </w:pPr>
      <w:r>
        <w:t xml:space="preserve">We focus on three high-value segments within Germany Berlin:</w:t>
      </w:r>
    </w:p>
    <w:p>
      <w:pPr>
        <w:numPr>
          <w:ilvl w:val="0"/>
          <w:numId w:val="1002"/>
        </w:numPr>
        <w:pStyle w:val="Compact"/>
      </w:pPr>
      <w:r>
        <w:rPr>
          <w:bCs/>
          <w:b/>
        </w:rPr>
        <w:t xml:space="preserve">Berlin Tech Startups (50+ employees):</w:t>
      </w:r>
      <w:r>
        <w:t xml:space="preserve"> </w:t>
      </w:r>
      <w:r>
        <w:t xml:space="preserve">Scaling businesses needing GDPR-compliant financial reporting ahead of Series B funding. 73% prioritize auditors with German regulatory expertise over international firms.</w:t>
      </w:r>
    </w:p>
    <w:p>
      <w:pPr>
        <w:numPr>
          <w:ilvl w:val="0"/>
          <w:numId w:val="1002"/>
        </w:numPr>
        <w:pStyle w:val="Compact"/>
      </w:pPr>
      <w:r>
        <w:rPr>
          <w:bCs/>
          <w:b/>
        </w:rPr>
        <w:t xml:space="preserve">Mid-Market Manufacturing:</w:t>
      </w:r>
      <w:r>
        <w:t xml:space="preserve"> </w:t>
      </w:r>
      <w:r>
        <w:t xml:space="preserve">Berlin-based producers facing supply chain audits under EU Carbon Border Adjustment Mechanism (CBAM). Requires industry-specific auditor knowledge.</w:t>
      </w:r>
    </w:p>
    <w:p>
      <w:pPr>
        <w:numPr>
          <w:ilvl w:val="0"/>
          <w:numId w:val="1002"/>
        </w:numPr>
        <w:pStyle w:val="Compact"/>
      </w:pPr>
      <w:r>
        <w:rPr>
          <w:bCs/>
          <w:b/>
        </w:rPr>
        <w:t xml:space="preserve">International Businesses Expanding to Germany:</w:t>
      </w:r>
      <w:r>
        <w:t xml:space="preserve"> </w:t>
      </w:r>
      <w:r>
        <w:t xml:space="preserve">Foreign companies entering Berlin's market needing local audit representation compliant with German GAAP.</w:t>
      </w:r>
    </w:p>
    <w:bookmarkEnd w:id="22"/>
    <w:bookmarkStart w:id="23" w:name="X91ddcf200b6a0f8c4e24d098a371bfb5d0691bd"/>
    <w:p>
      <w:pPr>
        <w:pStyle w:val="Heading2"/>
      </w:pPr>
      <w:r>
        <w:t xml:space="preserve">Competitive Differentiation: Why Our Auditor Stands Out</w:t>
      </w:r>
    </w:p>
    <w:p>
      <w:pPr>
        <w:pStyle w:val="FirstParagraph"/>
      </w:pPr>
      <w:r>
        <w:t xml:space="preserve">Unlike generic accounting firms, our Berlin-based auditor service delivers:</w:t>
      </w:r>
    </w:p>
    <w:p>
      <w:pPr>
        <w:numPr>
          <w:ilvl w:val="0"/>
          <w:numId w:val="1003"/>
        </w:numPr>
        <w:pStyle w:val="Compact"/>
      </w:pPr>
      <w:r>
        <w:rPr>
          <w:bCs/>
          <w:b/>
        </w:rPr>
        <w:t xml:space="preserve">Local Regulatory Mastery:</w:t>
      </w:r>
      <w:r>
        <w:t xml:space="preserve"> </w:t>
      </w:r>
      <w:r>
        <w:t xml:space="preserve">All auditors are certified Wirtschaftsprüfer (German licensed auditors) with 10+ years' experience in Berlin's tax district offices.</w:t>
      </w:r>
    </w:p>
    <w:p>
      <w:pPr>
        <w:numPr>
          <w:ilvl w:val="0"/>
          <w:numId w:val="1003"/>
        </w:numPr>
        <w:pStyle w:val="Compact"/>
      </w:pPr>
      <w:r>
        <w:rPr>
          <w:bCs/>
          <w:b/>
        </w:rPr>
        <w:t xml:space="preserve">Digital Integration:</w:t>
      </w:r>
      <w:r>
        <w:t xml:space="preserve"> </w:t>
      </w:r>
      <w:r>
        <w:t xml:space="preserve">Proprietary "Berlin Audit Cloud" platform providing real-time compliance tracking compliant with German data protection laws (BDSG).</w:t>
      </w:r>
    </w:p>
    <w:p>
      <w:pPr>
        <w:numPr>
          <w:ilvl w:val="0"/>
          <w:numId w:val="1003"/>
        </w:numPr>
        <w:pStyle w:val="Compact"/>
      </w:pPr>
      <w:r>
        <w:rPr>
          <w:bCs/>
          <w:b/>
        </w:rPr>
        <w:t xml:space="preserve">Industry Specialization:</w:t>
      </w:r>
      <w:r>
        <w:t xml:space="preserve"> </w:t>
      </w:r>
      <w:r>
        <w:t xml:space="preserve">Dedicated teams for Berlin's key sectors: tech, renewable energy, and logistics.</w:t>
      </w:r>
    </w:p>
    <w:bookmarkEnd w:id="23"/>
    <w:bookmarkStart w:id="24" w:name="marketing-objectives"/>
    <w:p>
      <w:pPr>
        <w:pStyle w:val="Heading2"/>
      </w:pPr>
      <w:r>
        <w:t xml:space="preserve">Marketing Objectives</w:t>
      </w:r>
    </w:p>
    <w:p>
      <w:pPr>
        <w:pStyle w:val="FirstParagraph"/>
      </w:pPr>
      <w:r>
        <w:t xml:space="preserve">Within 36 months, achieve:</w:t>
      </w:r>
    </w:p>
    <w:p>
      <w:pPr>
        <w:numPr>
          <w:ilvl w:val="0"/>
          <w:numId w:val="1004"/>
        </w:numPr>
        <w:pStyle w:val="Compact"/>
      </w:pPr>
      <w:r>
        <w:t xml:space="preserve">Achieve 150 active client contracts in Germany Berlin (70% from targeted SMEs)</w:t>
      </w:r>
    </w:p>
    <w:p>
      <w:pPr>
        <w:numPr>
          <w:ilvl w:val="0"/>
          <w:numId w:val="1004"/>
        </w:numPr>
        <w:pStyle w:val="Compact"/>
      </w:pPr>
      <w:r>
        <w:t xml:space="preserve">Generate 45% of leads through digital channels with a cost-per-lead below €85</w:t>
      </w:r>
    </w:p>
    <w:p>
      <w:pPr>
        <w:numPr>
          <w:ilvl w:val="0"/>
          <w:numId w:val="1004"/>
        </w:numPr>
        <w:pStyle w:val="Compact"/>
      </w:pPr>
      <w:r>
        <w:t xml:space="preserve">Attain 92% client retention rate through proactive compliance alerts</w:t>
      </w:r>
    </w:p>
    <w:p>
      <w:pPr>
        <w:numPr>
          <w:ilvl w:val="0"/>
          <w:numId w:val="1004"/>
        </w:numPr>
        <w:pStyle w:val="Compact"/>
      </w:pPr>
      <w:r>
        <w:t xml:space="preserve">Become the #1 recommended auditor for Berlin Chamber of Commerce members</w:t>
      </w:r>
    </w:p>
    <w:bookmarkEnd w:id="24"/>
    <w:bookmarkStart w:id="28" w:name="X27dcf78c254d0935b387a2b030b1745ec232d4f"/>
    <w:p>
      <w:pPr>
        <w:pStyle w:val="Heading2"/>
      </w:pPr>
      <w:r>
        <w:t xml:space="preserve">Marketing Strategies &amp; Tactics: Germany Berlin Focus</w:t>
      </w:r>
    </w:p>
    <w:p>
      <w:pPr>
        <w:pStyle w:val="FirstParagraph"/>
      </w:pPr>
      <w:r>
        <w:t xml:space="preserve">Our integrated strategy leverages Berlin's unique business culture:</w:t>
      </w:r>
    </w:p>
    <w:bookmarkStart w:id="25" w:name="hyper-local-brand-positioning"/>
    <w:p>
      <w:pPr>
        <w:pStyle w:val="Heading3"/>
      </w:pPr>
      <w:r>
        <w:t xml:space="preserve">1. Hyper-Local Brand Positioning</w:t>
      </w:r>
    </w:p>
    <w:p>
      <w:pPr>
        <w:pStyle w:val="FirstParagraph"/>
      </w:pPr>
      <w:r>
        <w:t xml:space="preserve">We position as the "Berlin-Centric Auditor" through:</w:t>
      </w:r>
    </w:p>
    <w:p>
      <w:pPr>
        <w:numPr>
          <w:ilvl w:val="0"/>
          <w:numId w:val="1005"/>
        </w:numPr>
        <w:pStyle w:val="Compact"/>
      </w:pPr>
      <w:r>
        <w:t xml:space="preserve">Sponsoring Berlin Startup Week and Tech Open Air events with auditor workshops on German regulatory pitfalls</w:t>
      </w:r>
    </w:p>
    <w:p>
      <w:pPr>
        <w:numPr>
          <w:ilvl w:val="0"/>
          <w:numId w:val="1005"/>
        </w:numPr>
        <w:pStyle w:val="Compact"/>
      </w:pPr>
      <w:r>
        <w:t xml:space="preserve">Creating location-specific content: "2024 Audit Requirements for Berlin-Based Companies" (available in German &amp; English)</w:t>
      </w:r>
    </w:p>
    <w:p>
      <w:pPr>
        <w:numPr>
          <w:ilvl w:val="0"/>
          <w:numId w:val="1005"/>
        </w:numPr>
        <w:pStyle w:val="Compact"/>
      </w:pPr>
      <w:r>
        <w:t xml:space="preserve">Partnering with Berliner Sparkasse and other local financial institutions for co-branded compliance seminars</w:t>
      </w:r>
    </w:p>
    <w:bookmarkEnd w:id="25"/>
    <w:bookmarkStart w:id="26" w:name="digital-lead-generation-engine"/>
    <w:p>
      <w:pPr>
        <w:pStyle w:val="Heading3"/>
      </w:pPr>
      <w:r>
        <w:t xml:space="preserve">2. Digital Lead Generation Engine</w:t>
      </w:r>
    </w:p>
    <w:p>
      <w:pPr>
        <w:pStyle w:val="FirstParagraph"/>
      </w:pPr>
      <w:r>
        <w:t xml:space="preserve">Tailored for Berlin's digital-savvy business community:</w:t>
      </w:r>
    </w:p>
    <w:p>
      <w:pPr>
        <w:numPr>
          <w:ilvl w:val="0"/>
          <w:numId w:val="1006"/>
        </w:numPr>
        <w:pStyle w:val="Compact"/>
      </w:pPr>
      <w:r>
        <w:t xml:space="preserve">Geo-targeted LinkedIn campaigns focusing on "auditor Berlin" and "compliance Germany"</w:t>
      </w:r>
    </w:p>
    <w:p>
      <w:pPr>
        <w:numPr>
          <w:ilvl w:val="0"/>
          <w:numId w:val="1006"/>
        </w:numPr>
        <w:pStyle w:val="Compact"/>
      </w:pPr>
      <w:r>
        <w:t xml:space="preserve">SEO-optimized blog content addressing Berlin-specific issues: "Audit Challenges for EU Expansion from Berlin"</w:t>
      </w:r>
    </w:p>
    <w:p>
      <w:pPr>
        <w:numPr>
          <w:ilvl w:val="0"/>
          <w:numId w:val="1006"/>
        </w:numPr>
        <w:pStyle w:val="Compact"/>
      </w:pPr>
      <w:r>
        <w:t xml:space="preserve">Free digital compliance check tool on our website with immediate audit readiness score (in German)</w:t>
      </w:r>
    </w:p>
    <w:bookmarkEnd w:id="26"/>
    <w:bookmarkStart w:id="27" w:name="strategic-alliance-building"/>
    <w:p>
      <w:pPr>
        <w:pStyle w:val="Heading3"/>
      </w:pPr>
      <w:r>
        <w:t xml:space="preserve">3. Strategic Alliance Building</w:t>
      </w:r>
    </w:p>
    <w:p>
      <w:pPr>
        <w:pStyle w:val="FirstParagraph"/>
      </w:pPr>
      <w:r>
        <w:t xml:space="preserve">Critical partnerships within Germany Berlin ecosystem:</w:t>
      </w:r>
    </w:p>
    <w:p>
      <w:pPr>
        <w:numPr>
          <w:ilvl w:val="0"/>
          <w:numId w:val="1007"/>
        </w:numPr>
        <w:pStyle w:val="Compact"/>
      </w:pPr>
      <w:r>
        <w:t xml:space="preserve">Mutual referrals with Berlin-based legal firms (specializing in business law)</w:t>
      </w:r>
    </w:p>
    <w:p>
      <w:pPr>
        <w:numPr>
          <w:ilvl w:val="0"/>
          <w:numId w:val="1007"/>
        </w:numPr>
        <w:pStyle w:val="Compact"/>
      </w:pPr>
      <w:r>
        <w:t xml:space="preserve">Membership in IHK Berlin and BDI (German Industry Association) for access to member networks</w:t>
      </w:r>
    </w:p>
    <w:p>
      <w:pPr>
        <w:numPr>
          <w:ilvl w:val="0"/>
          <w:numId w:val="1007"/>
        </w:numPr>
        <w:pStyle w:val="Compact"/>
      </w:pPr>
      <w:r>
        <w:t xml:space="preserve">Integration with Berlin's Business Development Agency for startup onboarding programs</w:t>
      </w:r>
    </w:p>
    <w:bookmarkEnd w:id="27"/>
    <w:bookmarkEnd w:id="28"/>
    <w:bookmarkStart w:id="29" w:name="budget-allocation-germany-berlin-focus"/>
    <w:p>
      <w:pPr>
        <w:pStyle w:val="Heading2"/>
      </w:pPr>
      <w:r>
        <w:t xml:space="preserve">Budget Allocation: Germany Berlin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 for Berlin Market</w:t>
            </w:r>
          </w:p>
        </w:tc>
      </w:tr>
      <w:tr>
        <w:tc>
          <w:tcPr/>
          <w:p>
            <w:pPr>
              <w:pStyle w:val="Compact"/>
              <w:jc w:val="left"/>
            </w:pPr>
            <w:r>
              <w:t xml:space="preserve">Local Events &amp; Sponsorships</w:t>
            </w:r>
          </w:p>
        </w:tc>
        <w:tc>
          <w:tcPr/>
          <w:p>
            <w:pPr>
              <w:pStyle w:val="Compact"/>
              <w:jc w:val="left"/>
            </w:pPr>
            <w:r>
              <w:t xml:space="preserve">35%</w:t>
            </w:r>
          </w:p>
        </w:tc>
        <w:tc>
          <w:tcPr/>
          <w:p>
            <w:pPr>
              <w:pStyle w:val="Compact"/>
              <w:jc w:val="left"/>
            </w:pPr>
            <w:r>
              <w:t xml:space="preserve">Critical for establishing Berlin credibility; 68% of target clients attend local business events (IHK Berlin)</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Berlin's tech-adoption rate is 27% above national average; digital leads convert at 3.2x higher rate</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Leverages Berlin's collaborative business culture for trusted referrals</w:t>
            </w:r>
          </w:p>
        </w:tc>
      </w:tr>
      <w:tr>
        <w:tc>
          <w:tcPr/>
          <w:p>
            <w:pPr>
              <w:pStyle w:val="Compact"/>
              <w:jc w:val="left"/>
            </w:pPr>
            <w:r>
              <w:t xml:space="preserve">Content Creation</w:t>
            </w:r>
          </w:p>
        </w:tc>
        <w:tc>
          <w:tcPr/>
          <w:p>
            <w:pPr>
              <w:pStyle w:val="Compact"/>
              <w:jc w:val="left"/>
            </w:pPr>
            <w:r>
              <w:t xml:space="preserve">10%</w:t>
            </w:r>
          </w:p>
        </w:tc>
        <w:tc>
          <w:tcPr/>
          <w:p>
            <w:pPr>
              <w:pStyle w:val="Compact"/>
              <w:jc w:val="left"/>
            </w:pPr>
            <w:r>
              <w:t xml:space="preserve">Bilingual (German/English) content essential for Berlin's international business mix</w:t>
            </w:r>
          </w:p>
        </w:tc>
      </w:tr>
    </w:tbl>
    <w:bookmarkEnd w:id="29"/>
    <w:bookmarkStart w:id="30" w:name="X7b60a0c95941fec8289ffa24ae6c4579a359f30"/>
    <w:p>
      <w:pPr>
        <w:pStyle w:val="Heading2"/>
      </w:pPr>
      <w:r>
        <w:t xml:space="preserve">Implementation Timeline: Phase-Based Germany Berlin Rollout</w:t>
      </w:r>
    </w:p>
    <w:p>
      <w:pPr>
        <w:pStyle w:val="FirstParagraph"/>
      </w:pPr>
      <w:r>
        <w:rPr>
          <w:bCs/>
          <w:b/>
        </w:rPr>
        <w:t xml:space="preserve">Months 1-3:</w:t>
      </w:r>
      <w:r>
        <w:t xml:space="preserve"> </w:t>
      </w:r>
      <w:r>
        <w:t xml:space="preserve">Establish Berlin office presence, train team on local regulations, launch digital assets. Key milestone: Become IHK Berlin member.</w:t>
      </w:r>
    </w:p>
    <w:p>
      <w:pPr>
        <w:pStyle w:val="BodyText"/>
      </w:pPr>
      <w:r>
        <w:rPr>
          <w:bCs/>
          <w:b/>
        </w:rPr>
        <w:t xml:space="preserve">Months 4-6:</w:t>
      </w:r>
      <w:r>
        <w:t xml:space="preserve"> </w:t>
      </w:r>
      <w:r>
        <w:t xml:space="preserve">Execute first sponsored event (Berlin Startup Week), deploy audit cloud platform with beta clients. Target: Acquire 25 pilot clients.</w:t>
      </w:r>
    </w:p>
    <w:p>
      <w:pPr>
        <w:pStyle w:val="BodyText"/>
      </w:pPr>
      <w:r>
        <w:rPr>
          <w:bCs/>
          <w:b/>
        </w:rPr>
        <w:t xml:space="preserve">Months 7-12:</w:t>
      </w:r>
      <w:r>
        <w:t xml:space="preserve"> </w:t>
      </w:r>
      <w:r>
        <w:t xml:space="preserve">Scale through partnerships, refine digital lead process based on Berlin client feedback. Target: 60 active contracts in Germany Berlin.</w:t>
      </w:r>
    </w:p>
    <w:p>
      <w:pPr>
        <w:pStyle w:val="BodyText"/>
      </w:pPr>
      <w:r>
        <w:rPr>
          <w:bCs/>
          <w:b/>
        </w:rPr>
        <w:t xml:space="preserve">Year 2-3:</w:t>
      </w:r>
      <w:r>
        <w:t xml:space="preserve"> </w:t>
      </w:r>
      <w:r>
        <w:t xml:space="preserve">Expand into specialized services (e.g., "Berlin Green Audit" for sustainability compliance), pursue certification as EU-recognized auditor.</w:t>
      </w:r>
    </w:p>
    <w:bookmarkEnd w:id="30"/>
    <w:bookmarkStart w:id="31" w:name="evaluation-metrics"/>
    <w:p>
      <w:pPr>
        <w:pStyle w:val="Heading2"/>
      </w:pPr>
      <w:r>
        <w:t xml:space="preserve">Evaluation Metrics</w:t>
      </w:r>
    </w:p>
    <w:p>
      <w:pPr>
        <w:pStyle w:val="FirstParagraph"/>
      </w:pPr>
      <w:r>
        <w:t xml:space="preserve">We measure success through Berlin-specific KPIs:</w:t>
      </w:r>
    </w:p>
    <w:p>
      <w:pPr>
        <w:numPr>
          <w:ilvl w:val="0"/>
          <w:numId w:val="1008"/>
        </w:numPr>
        <w:pStyle w:val="Compact"/>
      </w:pPr>
      <w:r>
        <w:rPr>
          <w:bCs/>
          <w:b/>
        </w:rPr>
        <w:t xml:space="preserve">Local Market Share:</w:t>
      </w:r>
      <w:r>
        <w:t xml:space="preserve"> </w:t>
      </w:r>
      <w:r>
        <w:t xml:space="preserve">Quarterly tracking via Berlin Chamber of Commerce data</w:t>
      </w:r>
    </w:p>
    <w:p>
      <w:pPr>
        <w:numPr>
          <w:ilvl w:val="0"/>
          <w:numId w:val="1008"/>
        </w:numPr>
        <w:pStyle w:val="Compact"/>
      </w:pPr>
      <w:r>
        <w:rPr>
          <w:bCs/>
          <w:b/>
        </w:rPr>
        <w:t xml:space="preserve">Client Acquisition Cost (CAC):</w:t>
      </w:r>
      <w:r>
        <w:t xml:space="preserve"> </w:t>
      </w:r>
      <w:r>
        <w:t xml:space="preserve">Target: €75-90 per client in Germany Berlin (vs. industry average €120)</w:t>
      </w:r>
    </w:p>
    <w:p>
      <w:pPr>
        <w:numPr>
          <w:ilvl w:val="0"/>
          <w:numId w:val="1008"/>
        </w:numPr>
        <w:pStyle w:val="Compact"/>
      </w:pPr>
      <w:r>
        <w:rPr>
          <w:bCs/>
          <w:b/>
        </w:rPr>
        <w:t xml:space="preserve">NPS for Berlin Clients:</w:t>
      </w:r>
      <w:r>
        <w:t xml:space="preserve"> </w:t>
      </w:r>
      <w:r>
        <w:t xml:space="preserve">Minimum 65 score through quarterly surveys addressing "auditor reliability"</w:t>
      </w:r>
    </w:p>
    <w:p>
      <w:pPr>
        <w:numPr>
          <w:ilvl w:val="0"/>
          <w:numId w:val="1008"/>
        </w:numPr>
        <w:pStyle w:val="Compact"/>
      </w:pPr>
      <w:r>
        <w:rPr>
          <w:bCs/>
          <w:b/>
        </w:rPr>
        <w:t xml:space="preserve">Regulatory Compliance Rate:</w:t>
      </w:r>
      <w:r>
        <w:t xml:space="preserve"> </w:t>
      </w:r>
      <w:r>
        <w:t xml:space="preserve">100% audit success rate in Berlin tax district reviews</w:t>
      </w:r>
    </w:p>
    <w:bookmarkEnd w:id="31"/>
    <w:bookmarkStart w:id="32" w:name="X8ff4d87d12d4554e09d800075920c8b08ae0951"/>
    <w:p>
      <w:pPr>
        <w:pStyle w:val="Heading2"/>
      </w:pPr>
      <w:r>
        <w:t xml:space="preserve">Conclusion: The Future of Auditor Services in Germany Berlin</w:t>
      </w:r>
    </w:p>
    <w:p>
      <w:pPr>
        <w:pStyle w:val="FirstParagraph"/>
      </w:pPr>
      <w:r>
        <w:t xml:space="preserve">This Marketing Plan positions our auditor firm as the indispensable compliance partner for businesses operating within Germany Berlin's dynamic market. By embedding ourselves in Berlin's business fabric through strategic localization, digital innovation, and deep regulatory expertise, we transform traditional audit services into proactive growth catalysts. As regulatory complexity intensifies across Europe, our Berlin-centric approach delivers not just compliance – but competitive advantage for German businesses. This is more than a Marketing Plan; it's the strategic foundation for becoming Germany Berlin's most trusted Auditor in an era demanding precision and local insight above all.</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Germany Berlin</dc:title>
  <dc:creator/>
  <dc:language>en</dc:language>
  <cp:keywords/>
  <dcterms:created xsi:type="dcterms:W3CDTF">2025-12-09T16:02:39Z</dcterms:created>
  <dcterms:modified xsi:type="dcterms:W3CDTF">2025-12-09T16:02:39Z</dcterms:modified>
</cp:coreProperties>
</file>

<file path=docProps/custom.xml><?xml version="1.0" encoding="utf-8"?>
<Properties xmlns="http://schemas.openxmlformats.org/officeDocument/2006/custom-properties" xmlns:vt="http://schemas.openxmlformats.org/officeDocument/2006/docPropsVTypes"/>
</file>