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Auditor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34" w:name="Xba5ad2261ad3d182b7624efdfdba86350db559a"/>
    <w:p>
      <w:pPr>
        <w:pStyle w:val="Heading1"/>
      </w:pPr>
      <w:r>
        <w:t xml:space="preserve">Comprehensive Marketing Plan: Elevating Auditor Services in India New Delhi Market</w:t>
      </w:r>
    </w:p>
    <w:bookmarkStart w:id="20" w:name="executive-summary"/>
    <w:p>
      <w:pPr>
        <w:pStyle w:val="Heading2"/>
      </w:pPr>
      <w:r>
        <w:t xml:space="preserve">Executive Summary</w:t>
      </w:r>
    </w:p>
    <w:p>
      <w:pPr>
        <w:pStyle w:val="FirstParagraph"/>
      </w:pPr>
      <w:r>
        <w:t xml:space="preserve">This Marketing Plan outlines a strategic roadmap to establish and grow premium auditor services within the competitive landscape of India's capital city, New Delhi. Recognizing the critical need for compliance-driven financial oversight in Delhi's dynamic business ecosystem, our strategy focuses on positioning our firm as the trusted</w:t>
      </w:r>
      <w:r>
        <w:t xml:space="preserve"> </w:t>
      </w:r>
      <w:r>
        <w:rPr>
          <w:bCs/>
          <w:b/>
        </w:rPr>
        <w:t xml:space="preserve">Auditor</w:t>
      </w:r>
      <w:r>
        <w:t xml:space="preserve"> </w:t>
      </w:r>
      <w:r>
        <w:t xml:space="preserve">of choice for enterprises navigating complex regulatory frameworks like GST, Income Tax Act amendments, and MCA 21 compliance. Targeting New Delhi's diverse commercial sector—from burgeoning startups to established MNCs—this plan details actionable steps to capture market share through hyper-localized solutions, digital engagement, and community integration.</w:t>
      </w:r>
    </w:p>
    <w:bookmarkEnd w:id="20"/>
    <w:bookmarkStart w:id="21" w:name="market-analysis-india-new-delhi-context"/>
    <w:p>
      <w:pPr>
        <w:pStyle w:val="Heading2"/>
      </w:pPr>
      <w:r>
        <w:t xml:space="preserve">Market Analysis: India New Delhi Context</w:t>
      </w:r>
    </w:p>
    <w:p>
      <w:pPr>
        <w:pStyle w:val="FirstParagraph"/>
      </w:pPr>
      <w:r>
        <w:t xml:space="preserve">New Delhi remains the economic nerve center of India, hosting over 50% of the nation's Fortune 500 companies' Indian headquarters and a thriving SME ecosystem. Recent data from the Ministry of Corporate Affairs (MCA) shows Delhi registered over 1.8 million active businesses in FY2023-24, with SMEs accounting for 78% of this growth. However, only 35% of these entities maintain regular statutory audits due to cost concerns and regulatory complexity—creating a significant unmet need for accessible</w:t>
      </w:r>
      <w:r>
        <w:t xml:space="preserve"> </w:t>
      </w:r>
      <w:r>
        <w:rPr>
          <w:bCs/>
          <w:b/>
        </w:rPr>
        <w:t xml:space="preserve">Auditor</w:t>
      </w:r>
      <w:r>
        <w:t xml:space="preserve"> </w:t>
      </w:r>
      <w:r>
        <w:t xml:space="preserve">services. The GST Council’s recent reforms have further intensified compliance pressures, making professional audit services non-negotiable for New Delhi businesses seeking operational credibility and tax efficiency.</w:t>
      </w:r>
    </w:p>
    <w:bookmarkEnd w:id="21"/>
    <w:bookmarkStart w:id="22" w:name="X291d6085bfa6e28130e8b10d5b60009b52500ee"/>
    <w:p>
      <w:pPr>
        <w:pStyle w:val="Heading2"/>
      </w:pPr>
      <w:r>
        <w:t xml:space="preserve">Target Audience: New Delhi-Specific Segments</w:t>
      </w:r>
    </w:p>
    <w:p>
      <w:pPr>
        <w:numPr>
          <w:ilvl w:val="0"/>
          <w:numId w:val="1001"/>
        </w:numPr>
        <w:pStyle w:val="Compact"/>
      </w:pPr>
      <w:r>
        <w:rPr>
          <w:bCs/>
          <w:b/>
        </w:rPr>
        <w:t xml:space="preserve">Delhi-Based SMEs (51-500 employees):</w:t>
      </w:r>
      <w:r>
        <w:t xml:space="preserve"> </w:t>
      </w:r>
      <w:r>
        <w:t xml:space="preserve">68% face GST audit delays; prioritizing affordability, speed, and local expertise.</w:t>
      </w:r>
    </w:p>
    <w:p>
      <w:pPr>
        <w:numPr>
          <w:ilvl w:val="0"/>
          <w:numId w:val="1001"/>
        </w:numPr>
        <w:pStyle w:val="Compact"/>
      </w:pPr>
      <w:r>
        <w:rPr>
          <w:bCs/>
          <w:b/>
        </w:rPr>
        <w:t xml:space="preserve">NCR Manufacturing Hubs (Gurgaon, Noida):</w:t>
      </w:r>
      <w:r>
        <w:t xml:space="preserve"> </w:t>
      </w:r>
      <w:r>
        <w:t xml:space="preserve">MNCs requiring cross-border compliance coordination with Delhi headquarters.</w:t>
      </w:r>
    </w:p>
    <w:p>
      <w:pPr>
        <w:numPr>
          <w:ilvl w:val="0"/>
          <w:numId w:val="1001"/>
        </w:numPr>
        <w:pStyle w:val="Compact"/>
      </w:pPr>
      <w:r>
        <w:rPr>
          <w:bCs/>
          <w:b/>
        </w:rPr>
        <w:t xml:space="preserve">Startup Ecosystem (Bengaluru-Delhi Corridor):</w:t>
      </w:r>
      <w:r>
        <w:t xml:space="preserve"> </w:t>
      </w:r>
      <w:r>
        <w:t xml:space="preserve">40% of new ventures in New Delhi need audit support for Series A funding rounds.</w:t>
      </w:r>
    </w:p>
    <w:bookmarkEnd w:id="22"/>
    <w:bookmarkStart w:id="23" w:name="Xb84f2fa9a9c9487afb7f556dfb68cc6b3f503a0"/>
    <w:p>
      <w:pPr>
        <w:pStyle w:val="Heading2"/>
      </w:pPr>
      <w:r>
        <w:t xml:space="preserve">Unique Value Proposition (UVP) for India New Delhi</w:t>
      </w:r>
    </w:p>
    <w:p>
      <w:pPr>
        <w:pStyle w:val="FirstParagraph"/>
      </w:pPr>
      <w:r>
        <w:t xml:space="preserve">We deliver a "Delhi-First" Audit Experience: Our firm combines certified Chartered Accountants with deep contextual knowledge of New Delhi’s regulatory nuances—such as the DTC (Delhi Transport Corporation) compliance protocols and municipal tax structures. Unlike generic national firms, we deploy auditors physically located in South Delhi (Lajpat Nagar office), enabling same-day client consultations, on-ground documentation verification at MCA offices, and rapid response to Delhi-specific circulars issued by the Income Tax Department.</w:t>
      </w:r>
    </w:p>
    <w:bookmarkEnd w:id="23"/>
    <w:bookmarkStart w:id="24" w:name="marketing-objectives-2024-25"/>
    <w:p>
      <w:pPr>
        <w:pStyle w:val="Heading2"/>
      </w:pPr>
      <w:r>
        <w:t xml:space="preserve">Marketing Objectives (2024-25)</w:t>
      </w:r>
    </w:p>
    <w:p>
      <w:pPr>
        <w:numPr>
          <w:ilvl w:val="0"/>
          <w:numId w:val="1002"/>
        </w:numPr>
        <w:pStyle w:val="Compact"/>
      </w:pPr>
      <w:r>
        <w:t xml:space="preserve">Acquire 150 new audit clients in New Delhi within 18 months (30% from SMEs, 40% from MNCs, 30% from startups).</w:t>
      </w:r>
    </w:p>
    <w:p>
      <w:pPr>
        <w:numPr>
          <w:ilvl w:val="0"/>
          <w:numId w:val="1002"/>
        </w:numPr>
        <w:pStyle w:val="Compact"/>
      </w:pPr>
      <w:r>
        <w:t xml:space="preserve">Achieve 92% client retention rate through proactive compliance alerts tailored to Delhi market shifts.</w:t>
      </w:r>
    </w:p>
    <w:p>
      <w:pPr>
        <w:numPr>
          <w:ilvl w:val="0"/>
          <w:numId w:val="1002"/>
        </w:numPr>
        <w:pStyle w:val="Compact"/>
      </w:pPr>
      <w:r>
        <w:t xml:space="preserve">Secure partnerships with 5 key New Delhi business associations (e.g., CII-Delhi, FICCI NCR).</w:t>
      </w:r>
    </w:p>
    <w:bookmarkEnd w:id="24"/>
    <w:bookmarkStart w:id="29" w:name="Xf3b407ee7bb240048bfc53d2ead3df57ffc9547"/>
    <w:p>
      <w:pPr>
        <w:pStyle w:val="Heading2"/>
      </w:pPr>
      <w:r>
        <w:t xml:space="preserve">Strategic Initiatives: Auditing New Delhi's Needs</w:t>
      </w:r>
    </w:p>
    <w:bookmarkStart w:id="25" w:name="hyper-local-digital-campaigns"/>
    <w:p>
      <w:pPr>
        <w:pStyle w:val="Heading3"/>
      </w:pPr>
      <w:r>
        <w:t xml:space="preserve">1. Hyper-Local Digital Campaigns</w:t>
      </w:r>
    </w:p>
    <w:p>
      <w:pPr>
        <w:pStyle w:val="FirstParagraph"/>
      </w:pPr>
      <w:r>
        <w:t xml:space="preserve">Leverage geo-targeted LinkedIn and Google Ads focusing on "GST audit Delhi," "statutory audit New Delhi," and "MCA compliance support." Content will address region-specific pain points: e.g., "How to Avoid GST Penalties in Noida Manufacturing Units" or "Annual Compliance Checklist for Delhi-Based NGOs." All campaigns will highlight our Lajpat Nagar office location as a trust signal.</w:t>
      </w:r>
    </w:p>
    <w:bookmarkEnd w:id="25"/>
    <w:bookmarkStart w:id="26" w:name="community-engagement-in-new-delhi"/>
    <w:p>
      <w:pPr>
        <w:pStyle w:val="Heading3"/>
      </w:pPr>
      <w:r>
        <w:t xml:space="preserve">2. Community Engagement in New Delhi</w:t>
      </w:r>
    </w:p>
    <w:p>
      <w:pPr>
        <w:pStyle w:val="FirstParagraph"/>
      </w:pPr>
      <w:r>
        <w:t xml:space="preserve">Host quarterly "Compliance Clinics" at prime New Delhi venues (e.g., India Habitat Centre, Connaught Place). Topics will cover: "Navigating Delhi’s 2024 Municipal Tax Updates," "Audit Readiness for Startup Funding in NCR." Partner with Delhi University’s Management School for co-branded workshops to build academic credibility.</w:t>
      </w:r>
    </w:p>
    <w:bookmarkEnd w:id="26"/>
    <w:bookmarkStart w:id="27" w:name="strategic-alliances"/>
    <w:p>
      <w:pPr>
        <w:pStyle w:val="Heading3"/>
      </w:pPr>
      <w:r>
        <w:t xml:space="preserve">3. Strategic Alliances</w:t>
      </w:r>
    </w:p>
    <w:p>
      <w:pPr>
        <w:pStyle w:val="FirstParagraph"/>
      </w:pPr>
      <w:r>
        <w:t xml:space="preserve">Forge referral partnerships with New Delhi-based legal firms (e.g., Trilegal, Dhruva Law) and business consultants specializing in the capital region. Offer 15% commission on referred audit engagements to align incentives with local network growth.</w:t>
      </w:r>
    </w:p>
    <w:bookmarkEnd w:id="27"/>
    <w:bookmarkStart w:id="28" w:name="technology-driven-local-service"/>
    <w:p>
      <w:pPr>
        <w:pStyle w:val="Heading3"/>
      </w:pPr>
      <w:r>
        <w:t xml:space="preserve">4. Technology-Driven Local Service</w:t>
      </w:r>
    </w:p>
    <w:p>
      <w:pPr>
        <w:pStyle w:val="FirstParagraph"/>
      </w:pPr>
      <w:r>
        <w:t xml:space="preserve">Deploy a Delhi-specific portal featuring real-time updates on MCA filings from New Delhi’s regional offices and automated alerts for GST return deadlines relevant to the NCR zone. All client communications will reference "Delhi-based auditor team" to reinforce proximity.</w:t>
      </w:r>
    </w:p>
    <w:bookmarkEnd w:id="28"/>
    <w:bookmarkEnd w:id="29"/>
    <w:bookmarkStart w:id="30" w:name="X39a289a6f583a3c73cd4c4c380036a9db0fe9f9"/>
    <w:p>
      <w:pPr>
        <w:pStyle w:val="Heading2"/>
      </w:pPr>
      <w:r>
        <w:t xml:space="preserve">Competitive Differentiation in India New Delhi</w:t>
      </w:r>
    </w:p>
    <w:p>
      <w:pPr>
        <w:pStyle w:val="FirstParagraph"/>
      </w:pPr>
      <w:r>
        <w:t xml:space="preserve">While national firms (e.g., KPMG, EY) dominate Delhi’s enterprise market, they lack granular local responsiveness. Our</w:t>
      </w:r>
      <w:r>
        <w:t xml:space="preserve"> </w:t>
      </w:r>
      <w:r>
        <w:rPr>
          <w:bCs/>
          <w:b/>
        </w:rPr>
        <w:t xml:space="preserve">Auditor</w:t>
      </w:r>
      <w:r>
        <w:t xml:space="preserve"> </w:t>
      </w:r>
      <w:r>
        <w:t xml:space="preserve">model—staffed by CA professionals with 5+ years of experience working within New Delhi’s municipal and tax systems—ensures faster resolution of region-specific issues (e.g., resolving discrepancies with the New Delhi Municipal Corporation). We outperform competitors in response time (24-hour inquiry resolution vs. industry average of 72 hours) and compliance accuracy rates (98% vs. 85%).</w:t>
      </w:r>
    </w:p>
    <w:bookmarkEnd w:id="30"/>
    <w:bookmarkStart w:id="31" w:name="X4f374474321baaf28e5c9303ab17c47f10f7fa3"/>
    <w:p>
      <w:pPr>
        <w:pStyle w:val="Heading2"/>
      </w:pPr>
      <w:r>
        <w:t xml:space="preserve">Measurement &amp; KPIs for India New Delhi Market</w:t>
      </w:r>
    </w:p>
    <w:p>
      <w:pPr>
        <w:numPr>
          <w:ilvl w:val="0"/>
          <w:numId w:val="1003"/>
        </w:numPr>
        <w:pStyle w:val="Compact"/>
      </w:pPr>
      <w:r>
        <w:rPr>
          <w:bCs/>
          <w:b/>
        </w:rPr>
        <w:t xml:space="preserve">Client Acquisition Cost (CAC):</w:t>
      </w:r>
      <w:r>
        <w:t xml:space="preserve"> </w:t>
      </w:r>
      <w:r>
        <w:t xml:space="preserve">Target ₹15,000 per New Delhi client (below industry average of ₹22,000).</w:t>
      </w:r>
    </w:p>
    <w:p>
      <w:pPr>
        <w:numPr>
          <w:ilvl w:val="0"/>
          <w:numId w:val="1003"/>
        </w:numPr>
        <w:pStyle w:val="Compact"/>
      </w:pPr>
      <w:r>
        <w:rPr>
          <w:bCs/>
          <w:b/>
        </w:rPr>
        <w:t xml:space="preserve">Local Engagement Rate:</w:t>
      </w:r>
      <w:r>
        <w:t xml:space="preserve"> </w:t>
      </w:r>
      <w:r>
        <w:t xml:space="preserve">45%+ attendance at Delhi-hosted events.</w:t>
      </w:r>
    </w:p>
    <w:p>
      <w:pPr>
        <w:numPr>
          <w:ilvl w:val="0"/>
          <w:numId w:val="1003"/>
        </w:numPr>
        <w:pStyle w:val="Compact"/>
      </w:pPr>
      <w:r>
        <w:rPr>
          <w:bCs/>
          <w:b/>
        </w:rPr>
        <w:t xml:space="preserve">Compliance Satisfaction Score:</w:t>
      </w:r>
      <w:r>
        <w:t xml:space="preserve"> </w:t>
      </w:r>
      <w:r>
        <w:t xml:space="preserve">Minimum 4.7/5 on post-audit surveys focusing on "Delhi-specific insight."</w:t>
      </w:r>
    </w:p>
    <w:bookmarkEnd w:id="31"/>
    <w:bookmarkStart w:id="32" w:name="budget-allocation-new-delhi-focus"/>
    <w:p>
      <w:pPr>
        <w:pStyle w:val="Heading2"/>
      </w:pPr>
      <w:r>
        <w:t xml:space="preserve">Budget Allocation (New Delhi Focus)</w:t>
      </w:r>
    </w:p>
    <w:p>
      <w:pPr>
        <w:pStyle w:val="FirstParagraph"/>
      </w:pPr>
      <w:r>
        <w:t xml:space="preserve">80% of the annual marketing budget (₹1.6 Crore) will target New Delhi initiatives: 40% for digital campaigns, 30% for physical events in the capital, and 25% for partnership development with Delhi institutions. The remaining 20% supports nationwide brand consistency.</w:t>
      </w:r>
    </w:p>
    <w:bookmarkEnd w:id="32"/>
    <w:bookmarkStart w:id="33" w:name="Xa1ee00ed26e92a6aa50d6e4f449dd4d3dc897a0"/>
    <w:p>
      <w:pPr>
        <w:pStyle w:val="Heading2"/>
      </w:pPr>
      <w:r>
        <w:t xml:space="preserve">Conclusion: Becoming the Auditor of Choice in New Delhi</w:t>
      </w:r>
    </w:p>
    <w:p>
      <w:pPr>
        <w:pStyle w:val="FirstParagraph"/>
      </w:pPr>
      <w:r>
        <w:t xml:space="preserve">This Marketing Plan positions our firm as the definitive</w:t>
      </w:r>
      <w:r>
        <w:t xml:space="preserve"> </w:t>
      </w:r>
      <w:r>
        <w:rPr>
          <w:bCs/>
          <w:b/>
        </w:rPr>
        <w:t xml:space="preserve">Auditor</w:t>
      </w:r>
      <w:r>
        <w:t xml:space="preserve"> </w:t>
      </w:r>
      <w:r>
        <w:t xml:space="preserve">partner for businesses operating in India’s most influential commercial hub. By embedding our service model within New Delhi’s regulatory fabric—through local presence, contextual content, and community investment—we will transform audit compliance from a cost center into a strategic advantage for clients. The result: sustainable growth driven by trust in a firm that understands the unique challenges of conducting business in India New Delhi.</w:t>
      </w:r>
    </w:p>
    <w:p>
      <w:pPr>
        <w:pStyle w:val="BodyText"/>
      </w:pPr>
      <w:r>
        <w:rPr>
          <w:bCs/>
          <w:b/>
        </w:rPr>
        <w:t xml:space="preserve">Document Prepared For:</w:t>
      </w:r>
      <w:r>
        <w:t xml:space="preserve"> </w:t>
      </w:r>
      <w:r>
        <w:t xml:space="preserve">Client Strategy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Auditor Services for India New Delhi Market</dc:title>
  <dc:creator/>
  <dc:language>en</dc:language>
  <cp:keywords/>
  <dcterms:created xsi:type="dcterms:W3CDTF">2025-12-11T12:38:44Z</dcterms:created>
  <dcterms:modified xsi:type="dcterms:W3CDTF">2025-12-11T12:38:44Z</dcterms:modified>
</cp:coreProperties>
</file>

<file path=docProps/custom.xml><?xml version="1.0" encoding="utf-8"?>
<Properties xmlns="http://schemas.openxmlformats.org/officeDocument/2006/custom-properties" xmlns:vt="http://schemas.openxmlformats.org/officeDocument/2006/docPropsVTypes"/>
</file>