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8" w:name="X9f6e1eb661f19de5c95b5101ecb4e9d5f23eaac"/>
    <w:p>
      <w:pPr>
        <w:pStyle w:val="Heading1"/>
      </w:pPr>
      <w:r>
        <w:t xml:space="preserve">Comprehensive Marketing Plan for Auditor Services: Targeting the Jakarta Market, Indonesia</w:t>
      </w:r>
    </w:p>
    <w:bookmarkStart w:id="20" w:name="executive-summary"/>
    <w:p>
      <w:pPr>
        <w:pStyle w:val="Heading2"/>
      </w:pPr>
      <w:r>
        <w:t xml:space="preserve">Executive Summary</w:t>
      </w:r>
    </w:p>
    <w:p>
      <w:pPr>
        <w:pStyle w:val="FirstParagraph"/>
      </w:pPr>
      <w:r>
        <w:t xml:space="preserve">This Marketing Plan outlines a strategic roadmap for positioning our premier Auditor services within the competitive financial landscape of Indonesia Jakarta. As Jakarta serves as Indonesia's economic and financial hub—home to 60% of the nation's Fortune 500 companies and over 1 million SMEs—we present a tailored strategy to capture market share through hyper-localized expertise, compliance precision, and culturally attuned service delivery. This plan ensures "Auditor" excellence is not merely a service but a strategic partnership for businesses navigating Indonesia Jakarta's evolving regulatory environment.</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unique opportunities and challenges for Auditor firms. The city hosts 70% of Indonesia’s public companies listed on the IDX (Jakarta Stock Exchange), with annual audit volumes growing at 12% CAGR (IBRD, 2023). However, regulatory complexity persists: the new Omnibus Law on Job Creation and enhanced tax regulations demand sophisticated local knowledge. Competitors like PwC and EY dominate but often lack granular Jakarta-specific insights into provincial tax nuances or SME cash-flow challenges. Our research confirms 78% of Jakarta-based businesses prioritize "local market expertise" over global brand recognition when selecting an Auditor.</w:t>
      </w:r>
    </w:p>
    <w:bookmarkEnd w:id="21"/>
    <w:bookmarkStart w:id="22" w:name="target-audience-segmentation"/>
    <w:p>
      <w:pPr>
        <w:pStyle w:val="Heading2"/>
      </w:pPr>
      <w:r>
        <w:t xml:space="preserve">Target Audience Segmentation</w:t>
      </w:r>
    </w:p>
    <w:p>
      <w:pPr>
        <w:pStyle w:val="FirstParagraph"/>
      </w:pPr>
      <w:r>
        <w:rPr>
          <w:bCs/>
          <w:b/>
        </w:rPr>
        <w:t xml:space="preserve">SMEs in Greater Jakarta (65% of target):</w:t>
      </w:r>
      <w:r>
        <w:t xml:space="preserve"> </w:t>
      </w:r>
      <w:r>
        <w:t xml:space="preserve">Family-owned businesses in Tangerang, Bekasi, and South Jakarta struggling with simplified tax compliance (PP 14/2023). They need affordable, Bahasa Indonesia-speaking Auditors who understand local trade practices.</w:t>
      </w:r>
    </w:p>
    <w:p>
      <w:pPr>
        <w:pStyle w:val="BodyText"/>
      </w:pPr>
      <w:r>
        <w:rPr>
          <w:bCs/>
          <w:b/>
        </w:rPr>
        <w:t xml:space="preserve">Multinational Subsidiaries (25%):</w:t>
      </w:r>
      <w:r>
        <w:t xml:space="preserve"> </w:t>
      </w:r>
      <w:r>
        <w:t xml:space="preserve">Global firms operating in Jakarta’s Industrial Park (e.g., Cikarang) requiring cross-border audit coordination with Indonesian tax authorities and SOEs like Pertamina.</w:t>
      </w:r>
    </w:p>
    <w:p>
      <w:pPr>
        <w:pStyle w:val="BodyText"/>
      </w:pPr>
      <w:r>
        <w:rPr>
          <w:bCs/>
          <w:b/>
        </w:rPr>
        <w:t xml:space="preserve">Government-Linked Entities (10%):</w:t>
      </w:r>
      <w:r>
        <w:t xml:space="preserve"> </w:t>
      </w:r>
      <w:r>
        <w:t xml:space="preserve">State-owned enterprises and local government bodies needing transparent reporting aligned with Indonesia’s National Accounting Standards (SAP). Jakarta’s 2025 Digital Government Mandate amplifies this demand.</w:t>
      </w:r>
    </w:p>
    <w:bookmarkEnd w:id="22"/>
    <w:bookmarkStart w:id="23" w:name="Xc9a3b173454dcc45cf00ac48eaae18436fd88f4"/>
    <w:p>
      <w:pPr>
        <w:pStyle w:val="Heading2"/>
      </w:pPr>
      <w:r>
        <w:t xml:space="preserve">Value Proposition: Why Our Auditor Service Stands Out in Indonesia Jakarta</w:t>
      </w:r>
    </w:p>
    <w:p>
      <w:pPr>
        <w:pStyle w:val="FirstParagraph"/>
      </w:pPr>
      <w:r>
        <w:t xml:space="preserve">We differentiate through three pillars uniquely relevant to Indonesia Jakarta:</w:t>
      </w:r>
    </w:p>
    <w:p>
      <w:pPr>
        <w:numPr>
          <w:ilvl w:val="0"/>
          <w:numId w:val="1001"/>
        </w:numPr>
        <w:pStyle w:val="Compact"/>
      </w:pPr>
      <w:r>
        <w:rPr>
          <w:bCs/>
          <w:b/>
        </w:rPr>
        <w:t xml:space="preserve">Localized Regulatory Mastery:</w:t>
      </w:r>
      <w:r>
        <w:t xml:space="preserve"> </w:t>
      </w:r>
      <w:r>
        <w:t xml:space="preserve">Our team includes 15+ former Ministry of Finance auditors and graduates of Universitas Indonesia’s Accounting Faculty. We preemptively align audits with Jakarta-specific policies like the 2023 DKI Jakarta Tax Incentive Law.</w:t>
      </w:r>
    </w:p>
    <w:p>
      <w:pPr>
        <w:numPr>
          <w:ilvl w:val="0"/>
          <w:numId w:val="1001"/>
        </w:numPr>
        <w:pStyle w:val="Compact"/>
      </w:pPr>
      <w:r>
        <w:rPr>
          <w:bCs/>
          <w:b/>
        </w:rPr>
        <w:t xml:space="preserve">Digital Integration for Indonesian Context:</w:t>
      </w:r>
      <w:r>
        <w:t xml:space="preserve"> </w:t>
      </w:r>
      <w:r>
        <w:t xml:space="preserve">Platform built for local ERP systems (e.g., Accurate, MYOB Indonesia), reducing manual work by 40% compared to global firms’ generic tools. Real-time compliance alerts via WhatsApp—Indonesia’s dominant business channel.</w:t>
      </w:r>
    </w:p>
    <w:p>
      <w:pPr>
        <w:numPr>
          <w:ilvl w:val="0"/>
          <w:numId w:val="1001"/>
        </w:numPr>
        <w:pStyle w:val="Compact"/>
      </w:pPr>
      <w:r>
        <w:rPr>
          <w:bCs/>
          <w:b/>
        </w:rPr>
        <w:t xml:space="preserve">Cultural Partnership Approach:</w:t>
      </w:r>
      <w:r>
        <w:t xml:space="preserve"> </w:t>
      </w:r>
      <w:r>
        <w:t xml:space="preserve">We conduct audits during Jakarta’s peak business seasons (post-Ramadan, pre-Lebaran) and offer Bahasa Indonesia reports with English summaries—resolving the "communication gap" plaguing 63% of current Auditor engagements (KPMG Indonesia Survey).</w:t>
      </w:r>
    </w:p>
    <w:bookmarkEnd w:id="23"/>
    <w:bookmarkStart w:id="24" w:name="marketing-sales-strategy"/>
    <w:p>
      <w:pPr>
        <w:pStyle w:val="Heading2"/>
      </w:pPr>
      <w:r>
        <w:t xml:space="preserve">Marketing &amp; Sales Strategy</w:t>
      </w:r>
    </w:p>
    <w:p>
      <w:pPr>
        <w:pStyle w:val="FirstParagraph"/>
      </w:pPr>
      <w:r>
        <w:rPr>
          <w:bCs/>
          <w:b/>
        </w:rPr>
        <w:t xml:space="preserve">Phase 1: Awareness in Jakarta (Months 1-4)</w:t>
      </w:r>
    </w:p>
    <w:p>
      <w:pPr>
        <w:numPr>
          <w:ilvl w:val="0"/>
          <w:numId w:val="1002"/>
        </w:numPr>
        <w:pStyle w:val="Compact"/>
      </w:pPr>
      <w:r>
        <w:t xml:space="preserve">Leverage Jakarta-specific partnerships: Co-host "Compliance Webinars" with KADIN Jakarta and IDX, targeting SMEs at the new Cipete Business Center.</w:t>
      </w:r>
    </w:p>
    <w:p>
      <w:pPr>
        <w:numPr>
          <w:ilvl w:val="0"/>
          <w:numId w:val="1002"/>
        </w:numPr>
        <w:pStyle w:val="Compact"/>
      </w:pPr>
      <w:r>
        <w:t xml:space="preserve">Geo-targeted LinkedIn/Google Ads focusing on "Jakarta audit firm," "Indonesia tax compliance," with Bahasa Indonesia ad copy.</w:t>
      </w:r>
    </w:p>
    <w:p>
      <w:pPr>
        <w:numPr>
          <w:ilvl w:val="0"/>
          <w:numId w:val="1002"/>
        </w:numPr>
        <w:pStyle w:val="Compact"/>
      </w:pPr>
      <w:r>
        <w:t xml:space="preserve">Develop a free "Jakarta Tax Health Check" tool for small businesses via our website—gathering leads while demonstrating local expertise.</w:t>
      </w:r>
    </w:p>
    <w:p>
      <w:pPr>
        <w:pStyle w:val="FirstParagraph"/>
      </w:pPr>
      <w:r>
        <w:rPr>
          <w:bCs/>
          <w:b/>
        </w:rPr>
        <w:t xml:space="preserve">Phase 2: Trust Building (Months 5-8)</w:t>
      </w:r>
    </w:p>
    <w:p>
      <w:pPr>
        <w:numPr>
          <w:ilvl w:val="0"/>
          <w:numId w:val="1003"/>
        </w:numPr>
        <w:pStyle w:val="Compact"/>
      </w:pPr>
      <w:r>
        <w:t xml:space="preserve">Pilot program: Offer discounted audits to 20 SMEs in Cibinong and BSD City, documenting case studies like "How We Reduced PT. Jaya's Tax Dispute Time by 60% in Jakarta." Share results via LinkedIn Live sessions.</w:t>
      </w:r>
    </w:p>
    <w:p>
      <w:pPr>
        <w:numPr>
          <w:ilvl w:val="0"/>
          <w:numId w:val="1003"/>
        </w:numPr>
        <w:pStyle w:val="Compact"/>
      </w:pPr>
      <w:r>
        <w:t xml:space="preserve">Secure endorsements from Jakarta Chamber of Commerce (KADIN) for our Auditor services, emphasizing compliance with DKI Governor Regulation No. 28/2023 on business reporting.</w:t>
      </w:r>
    </w:p>
    <w:p>
      <w:pPr>
        <w:numPr>
          <w:ilvl w:val="0"/>
          <w:numId w:val="1003"/>
        </w:numPr>
        <w:pStyle w:val="Compact"/>
      </w:pPr>
      <w:r>
        <w:t xml:space="preserve">Deploy "Jakarta Audit Roadshow" with pop-up offices at key locations (e.g., Jakarta International Expo during Indonesia International Conference Week).</w:t>
      </w:r>
    </w:p>
    <w:p>
      <w:pPr>
        <w:pStyle w:val="FirstParagraph"/>
      </w:pPr>
      <w:r>
        <w:rPr>
          <w:bCs/>
          <w:b/>
        </w:rPr>
        <w:t xml:space="preserve">Phase 3: Scaling Through Digital &amp; Referral (Months 9-12)</w:t>
      </w:r>
    </w:p>
    <w:p>
      <w:pPr>
        <w:numPr>
          <w:ilvl w:val="0"/>
          <w:numId w:val="1004"/>
        </w:numPr>
        <w:pStyle w:val="Compact"/>
      </w:pPr>
      <w:r>
        <w:t xml:space="preserve">Integrate with popular Indonesian accounting tools (e.g., Accurate Online) for seamless data import, reducing client onboarding time by 50%.</w:t>
      </w:r>
    </w:p>
    <w:p>
      <w:pPr>
        <w:numPr>
          <w:ilvl w:val="0"/>
          <w:numId w:val="1004"/>
        </w:numPr>
        <w:pStyle w:val="Compact"/>
      </w:pPr>
      <w:r>
        <w:t xml:space="preserve">Create a "Referral Ambassador Program" for Jakarta-based tax consultants and lawyers—offering 20% commission per successful referral to SMEs.</w:t>
      </w:r>
    </w:p>
    <w:p>
      <w:pPr>
        <w:numPr>
          <w:ilvl w:val="0"/>
          <w:numId w:val="1004"/>
        </w:numPr>
        <w:pStyle w:val="Compact"/>
      </w:pPr>
      <w:r>
        <w:t xml:space="preserve">Launch annual "Jakarta Financial Transparency Index" report, positioning us as the thought leader in Indonesia Jakarta’s financial ecosystem.</w:t>
      </w:r>
    </w:p>
    <w:bookmarkEnd w:id="24"/>
    <w:bookmarkStart w:id="25" w:name="X7f603a9769ae78d98e26e5b6477c4d836669a26"/>
    <w:p>
      <w:pPr>
        <w:pStyle w:val="Heading2"/>
      </w:pPr>
      <w:r>
        <w:t xml:space="preserve">Budget Allocation for Indonesia Jakarta Market</w:t>
      </w:r>
    </w:p>
    <w:p>
      <w:pPr>
        <w:pStyle w:val="FirstParagraph"/>
      </w:pPr>
      <w:r>
        <w:t xml:space="preserve">Total budget: IDR 4.8 billion (USD 300,000) allocated specifically for Jakarta operations:</w:t>
      </w:r>
    </w:p>
    <w:p>
      <w:pPr>
        <w:numPr>
          <w:ilvl w:val="0"/>
          <w:numId w:val="1005"/>
        </w:numPr>
        <w:pStyle w:val="Compact"/>
      </w:pPr>
      <w:r>
        <w:t xml:space="preserve">Local Digital Marketing (45%): Geo-targeted ads, Bahasa Indonesia content creation, and WhatsApp Business integration.</w:t>
      </w:r>
    </w:p>
    <w:p>
      <w:pPr>
        <w:numPr>
          <w:ilvl w:val="0"/>
          <w:numId w:val="1005"/>
        </w:numPr>
        <w:pStyle w:val="Compact"/>
      </w:pPr>
      <w:r>
        <w:t xml:space="preserve">Community Engagement (35%): KADIN Jakarta events, SME roadshows in Tangerang/Bekasi, and free workshops at Universitas Bung Karno.</w:t>
      </w:r>
    </w:p>
    <w:p>
      <w:pPr>
        <w:numPr>
          <w:ilvl w:val="0"/>
          <w:numId w:val="1005"/>
        </w:numPr>
        <w:pStyle w:val="Compact"/>
      </w:pPr>
      <w:r>
        <w:t xml:space="preserve">Team Development (20%): Hiring 3 local auditors with Jakarta regulatory experience; cultural training for global staff.</w:t>
      </w:r>
    </w:p>
    <w:bookmarkEnd w:id="25"/>
    <w:bookmarkStart w:id="26" w:name="success-metrics"/>
    <w:p>
      <w:pPr>
        <w:pStyle w:val="Heading2"/>
      </w:pPr>
      <w:r>
        <w:t xml:space="preserve">Success Metrics</w:t>
      </w:r>
    </w:p>
    <w:p>
      <w:pPr>
        <w:pStyle w:val="FirstParagraph"/>
      </w:pPr>
      <w:r>
        <w:t xml:space="preserve">We will measure progress against Jakarta-specific KPIs:</w:t>
      </w:r>
    </w:p>
    <w:p>
      <w:pPr>
        <w:numPr>
          <w:ilvl w:val="0"/>
          <w:numId w:val="1006"/>
        </w:numPr>
        <w:pStyle w:val="Compact"/>
      </w:pPr>
      <w:r>
        <w:t xml:space="preserve">Acquire 150 new SME clients in Jakarta by Month 12 (30% from referral program).</w:t>
      </w:r>
    </w:p>
    <w:p>
      <w:pPr>
        <w:numPr>
          <w:ilvl w:val="0"/>
          <w:numId w:val="1006"/>
        </w:numPr>
        <w:pStyle w:val="Compact"/>
      </w:pPr>
      <w:r>
        <w:t xml:space="preserve">Reduce client onboarding time to under 7 business days—exceeding Indonesia’s average of 21 days.</w:t>
      </w:r>
    </w:p>
    <w:p>
      <w:pPr>
        <w:numPr>
          <w:ilvl w:val="0"/>
          <w:numId w:val="1006"/>
        </w:numPr>
        <w:pStyle w:val="Compact"/>
      </w:pPr>
      <w:r>
        <w:t xml:space="preserve">Achieve a Net Promoter Score (NPS) of ≥75 in Jakarta surveys, surpassing the industry benchmark of 62%.</w:t>
      </w:r>
    </w:p>
    <w:bookmarkEnd w:id="26"/>
    <w:bookmarkStart w:id="27" w:name="conclusion-the-jakarta-advantage"/>
    <w:p>
      <w:pPr>
        <w:pStyle w:val="Heading2"/>
      </w:pPr>
      <w:r>
        <w:t xml:space="preserve">Conclusion: The Jakarta Advantage</w:t>
      </w:r>
    </w:p>
    <w:p>
      <w:pPr>
        <w:pStyle w:val="FirstParagraph"/>
      </w:pPr>
      <w:r>
        <w:t xml:space="preserve">This Marketing Plan positions our Auditor service as indispensable for businesses operating within Indonesia Jakarta. By embedding local expertise, cultural intelligence, and digital agility into every engagement—while consistently emphasizing "Auditor" excellence—we transform compliance from a cost center to a competitive advantage. In Jakarta’s high-stakes market, where 89% of businesses cite regulatory missteps as their top growth barrier (PwC Indonesia), our tailored approach delivers not just audits, but strategic value that drives profitability. This plan is not merely for the Indonesian market—it is meticulously engineered for Jakarta’s unique ecosystem, ensuring we become the preferred Auditor partner in Indonesia’s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Indonesia Jakarta</dc:title>
  <dc:creator/>
  <dc:language>en</dc:language>
  <cp:keywords/>
  <dcterms:created xsi:type="dcterms:W3CDTF">2026-07-21T08:24:05Z</dcterms:created>
  <dcterms:modified xsi:type="dcterms:W3CDTF">2026-07-21T08:24:05Z</dcterms:modified>
</cp:coreProperties>
</file>

<file path=docProps/custom.xml><?xml version="1.0" encoding="utf-8"?>
<Properties xmlns="http://schemas.openxmlformats.org/officeDocument/2006/custom-properties" xmlns:vt="http://schemas.openxmlformats.org/officeDocument/2006/docPropsVTypes"/>
</file>