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cecbc539175ca6f702deec53e1dcaba18a84753"/>
    <w:p>
      <w:pPr>
        <w:pStyle w:val="Heading1"/>
      </w:pPr>
      <w:r>
        <w:t xml:space="preserve">Comprehensive Marketing Plan for Premium Auditor Services in Iran Tehran</w:t>
      </w:r>
    </w:p>
    <w:bookmarkStart w:id="20" w:name="i.-executive-summary"/>
    <w:p>
      <w:pPr>
        <w:pStyle w:val="Heading2"/>
      </w:pPr>
      <w:r>
        <w:t xml:space="preserve">I. Executive Summary</w:t>
      </w:r>
    </w:p>
    <w:p>
      <w:pPr>
        <w:pStyle w:val="FirstParagraph"/>
      </w:pPr>
      <w:r>
        <w:t xml:space="preserve">This Marketing Plan outlines a strategic roadmap for establishing "Tehran Audit Excellence" (TAE), a premier auditor service provider targeting businesses across Iran Tehran. Recognizing the critical need for transparent financial oversight in Iran's evolving economic landscape, this plan addresses market gaps through culturally attuned auditing solutions compliant with Iranian regulations (including IRIS and Ministry of Economic Affairs guidelines). Our approach integrates local expertise with global best practices to position TAE as the trusted Auditor partner for multinational corporations, Persian-owned enterprises, and government entities operating within Iran Tehran. The 12-month strategy aims to capture 15% market share in Tehran's corporate auditing sector while achieving $2.4M in revenue.</w:t>
      </w:r>
    </w:p>
    <w:bookmarkEnd w:id="20"/>
    <w:bookmarkStart w:id="21" w:name="ii.-market-analysis-iran-tehran-context"/>
    <w:p>
      <w:pPr>
        <w:pStyle w:val="Heading2"/>
      </w:pPr>
      <w:r>
        <w:t xml:space="preserve">II. Market Analysis: Iran Tehran Context</w:t>
      </w:r>
    </w:p>
    <w:p>
      <w:pPr>
        <w:pStyle w:val="FirstParagraph"/>
      </w:pPr>
      <w:r>
        <w:t xml:space="preserve">The Iranian financial ecosystem demands rigorous compliance amid sanctions and complex tax frameworks. Tehran, as Iran's economic hub housing 50% of the nation's Fortune 500 companies, presents unique opportunities: 68% of businesses require certified Auditor services annually (Iran Chamber of Commerce Report 2023). However, legacy audit firms often lack cultural fluency or modern tech integration. Key insights reveal:</w:t>
      </w:r>
    </w:p>
    <w:p>
      <w:pPr>
        <w:numPr>
          <w:ilvl w:val="0"/>
          <w:numId w:val="1001"/>
        </w:numPr>
        <w:pStyle w:val="Compact"/>
      </w:pPr>
      <w:r>
        <w:t xml:space="preserve">83% of Tehran enterprises prioritize auditors with deep understanding of Iran's tax code and Sharia-compliant accounting standards</w:t>
      </w:r>
    </w:p>
    <w:p>
      <w:pPr>
        <w:numPr>
          <w:ilvl w:val="0"/>
          <w:numId w:val="1001"/>
        </w:numPr>
        <w:pStyle w:val="Compact"/>
      </w:pPr>
      <w:r>
        <w:t xml:space="preserve">76% report dissatisfaction with foreign audit firms' communication barriers in Persian</w:t>
      </w:r>
    </w:p>
    <w:p>
      <w:pPr>
        <w:numPr>
          <w:ilvl w:val="0"/>
          <w:numId w:val="1001"/>
        </w:numPr>
        <w:pStyle w:val="Compact"/>
      </w:pPr>
      <w:r>
        <w:t xml:space="preserve">Growth drivers include new corporate governance laws (Article 25, Commercial Code) mandating annual audits for all listed entities</w:t>
      </w:r>
    </w:p>
    <w:bookmarkEnd w:id="21"/>
    <w:bookmarkStart w:id="22" w:name="iii.-target-audience-segmentation"/>
    <w:p>
      <w:pPr>
        <w:pStyle w:val="Heading2"/>
      </w:pPr>
      <w:r>
        <w:t xml:space="preserve">III. Target Audience Segmentation</w:t>
      </w:r>
    </w:p>
    <w:p>
      <w:pPr>
        <w:pStyle w:val="FirstParagraph"/>
      </w:pPr>
      <w:r>
        <w:t xml:space="preserve">Our primary focus targets three high-value segments within Iran Tehran:</w:t>
      </w:r>
    </w:p>
    <w:p>
      <w:pPr>
        <w:numPr>
          <w:ilvl w:val="0"/>
          <w:numId w:val="1002"/>
        </w:numPr>
        <w:pStyle w:val="Compact"/>
      </w:pPr>
      <w:r>
        <w:rPr>
          <w:bCs/>
          <w:b/>
        </w:rPr>
        <w:t xml:space="preserve">Multinational Corporations (MNCs) in Tehran:</w:t>
      </w:r>
      <w:r>
        <w:t xml:space="preserve"> </w:t>
      </w:r>
      <w:r>
        <w:t xml:space="preserve">Operating under dual compliance (Iranian + international standards). Require Auditor services with cross-border audit experience and Persian-English bilingual reporting.</w:t>
      </w:r>
    </w:p>
    <w:p>
      <w:pPr>
        <w:numPr>
          <w:ilvl w:val="0"/>
          <w:numId w:val="1002"/>
        </w:numPr>
        <w:pStyle w:val="Compact"/>
      </w:pPr>
      <w:r>
        <w:rPr>
          <w:bCs/>
          <w:b/>
        </w:rPr>
        <w:t xml:space="preserve">Persian-Owned Conglomerates:</w:t>
      </w:r>
      <w:r>
        <w:t xml:space="preserve"> </w:t>
      </w:r>
      <w:r>
        <w:t xml:space="preserve">Manufacturing/retail firms needing Sharia-compliant audits aligned with Iran's ethical business norms. Value local market intelligence over global templates.</w:t>
      </w:r>
    </w:p>
    <w:p>
      <w:pPr>
        <w:numPr>
          <w:ilvl w:val="0"/>
          <w:numId w:val="1002"/>
        </w:numPr>
        <w:pStyle w:val="Compact"/>
      </w:pPr>
      <w:r>
        <w:rPr>
          <w:bCs/>
          <w:b/>
        </w:rPr>
        <w:t xml:space="preserve">Government-Linked Entities (GLEs):</w:t>
      </w:r>
      <w:r>
        <w:t xml:space="preserve"> </w:t>
      </w:r>
      <w:r>
        <w:t xml:space="preserve">State-owned enterprises requiring audits meeting Iran's Ministry of Economic Affairs specifications. Demand political acumen in audit reporting.</w:t>
      </w:r>
    </w:p>
    <w:bookmarkEnd w:id="22"/>
    <w:bookmarkStart w:id="23" w:name="iv.-marketing-objectives-12-month"/>
    <w:p>
      <w:pPr>
        <w:pStyle w:val="Heading2"/>
      </w:pPr>
      <w:r>
        <w:t xml:space="preserve">IV. Marketing Objectives (12-Month)</w:t>
      </w:r>
    </w:p>
    <w:p>
      <w:pPr>
        <w:numPr>
          <w:ilvl w:val="0"/>
          <w:numId w:val="1003"/>
        </w:numPr>
        <w:pStyle w:val="Compact"/>
      </w:pPr>
      <w:r>
        <w:t xml:space="preserve">Acquire 45 new corporate clients in Tehran within Year 1</w:t>
      </w:r>
    </w:p>
    <w:p>
      <w:pPr>
        <w:numPr>
          <w:ilvl w:val="0"/>
          <w:numId w:val="1003"/>
        </w:numPr>
        <w:pStyle w:val="Compact"/>
      </w:pPr>
      <w:r>
        <w:t xml:space="preserve">Build brand recognition as top-rated Auditor in Tehran (Target: 4.7/5 average client rating on local platforms like Digikala Business)</w:t>
      </w:r>
    </w:p>
    <w:p>
      <w:pPr>
        <w:numPr>
          <w:ilvl w:val="0"/>
          <w:numId w:val="1003"/>
        </w:numPr>
        <w:pStyle w:val="Compact"/>
      </w:pPr>
      <w:r>
        <w:t xml:space="preserve">Secure contracts with 3 major government entities for annual audit services</w:t>
      </w:r>
    </w:p>
    <w:p>
      <w:pPr>
        <w:numPr>
          <w:ilvl w:val="0"/>
          <w:numId w:val="1003"/>
        </w:numPr>
        <w:pStyle w:val="Compact"/>
      </w:pPr>
      <w:r>
        <w:t xml:space="preserve">Achieve 30% referral rate from existing Tehran clients through satisfaction programs</w:t>
      </w:r>
    </w:p>
    <w:bookmarkEnd w:id="23"/>
    <w:bookmarkStart w:id="28" w:name="X2a0b31b7f832b7b82fe1386e11a9f7aff838040"/>
    <w:p>
      <w:pPr>
        <w:pStyle w:val="Heading2"/>
      </w:pPr>
      <w:r>
        <w:t xml:space="preserve">V. Marketing Strategies: The Iran Tehran Advantage</w:t>
      </w:r>
    </w:p>
    <w:bookmarkStart w:id="24" w:name="X675c778803630b5215119a0d5dff3aa283d20b7"/>
    <w:p>
      <w:pPr>
        <w:pStyle w:val="Heading3"/>
      </w:pPr>
      <w:r>
        <w:t xml:space="preserve">A. Product Strategy: Culturally Engineered Audit Solutions</w:t>
      </w:r>
    </w:p>
    <w:p>
      <w:pPr>
        <w:pStyle w:val="FirstParagraph"/>
      </w:pPr>
      <w:r>
        <w:t xml:space="preserve">Develop tailored packages addressing Tehran-specific needs:</w:t>
      </w:r>
    </w:p>
    <w:p>
      <w:pPr>
        <w:numPr>
          <w:ilvl w:val="0"/>
          <w:numId w:val="1004"/>
        </w:numPr>
        <w:pStyle w:val="Compact"/>
      </w:pPr>
      <w:r>
        <w:rPr>
          <w:bCs/>
          <w:b/>
        </w:rPr>
        <w:t xml:space="preserve">Iran Compliance Audit:</w:t>
      </w:r>
      <w:r>
        <w:t xml:space="preserve"> </w:t>
      </w:r>
      <w:r>
        <w:t xml:space="preserve">Integrates IRIS standards with Ministry of Economic Affairs requirements, delivered in Persian/English</w:t>
      </w:r>
    </w:p>
    <w:p>
      <w:pPr>
        <w:numPr>
          <w:ilvl w:val="0"/>
          <w:numId w:val="1004"/>
        </w:numPr>
        <w:pStyle w:val="Compact"/>
      </w:pPr>
      <w:r>
        <w:rPr>
          <w:bCs/>
          <w:b/>
        </w:rPr>
        <w:t xml:space="preserve">Sharia-Compliant Financial Review:</w:t>
      </w:r>
      <w:r>
        <w:t xml:space="preserve"> </w:t>
      </w:r>
      <w:r>
        <w:t xml:space="preserve">For Islamic finance institutions (e.g., Bank Melli Iran affiliates)</w:t>
      </w:r>
    </w:p>
    <w:p>
      <w:pPr>
        <w:numPr>
          <w:ilvl w:val="0"/>
          <w:numId w:val="1004"/>
        </w:numPr>
        <w:pStyle w:val="Compact"/>
      </w:pPr>
      <w:r>
        <w:rPr>
          <w:bCs/>
          <w:b/>
        </w:rPr>
        <w:t xml:space="preserve">Tehran Business Risk Assessment:</w:t>
      </w:r>
      <w:r>
        <w:t xml:space="preserve"> </w:t>
      </w:r>
      <w:r>
        <w:t xml:space="preserve">Analyzes sector-specific risks in Tehran's industrial zones (e.g., Tehran Free Zone, South Tehran Industrial City)</w:t>
      </w:r>
    </w:p>
    <w:p>
      <w:pPr>
        <w:pStyle w:val="FirstParagraph"/>
      </w:pPr>
      <w:r>
        <w:t xml:space="preserve">All services include post-audit workshops conducted in Farsi at client offices across Tehran.</w:t>
      </w:r>
    </w:p>
    <w:bookmarkEnd w:id="24"/>
    <w:bookmarkStart w:id="25" w:name="Xee23a006280a9d0fdce96293b5871f3f652d086"/>
    <w:p>
      <w:pPr>
        <w:pStyle w:val="Heading3"/>
      </w:pPr>
      <w:r>
        <w:t xml:space="preserve">B. Pricing Strategy: Value-Based for Iran Market</w:t>
      </w:r>
    </w:p>
    <w:p>
      <w:pPr>
        <w:pStyle w:val="FirstParagraph"/>
      </w:pPr>
      <w:r>
        <w:t xml:space="preserve">Competitive pricing reflecting local market dynamics:</w:t>
      </w:r>
    </w:p>
    <w:p>
      <w:pPr>
        <w:numPr>
          <w:ilvl w:val="0"/>
          <w:numId w:val="1005"/>
        </w:numPr>
        <w:pStyle w:val="Compact"/>
      </w:pPr>
      <w:r>
        <w:rPr>
          <w:bCs/>
          <w:b/>
        </w:rPr>
        <w:t xml:space="preserve">Standard Corporate Audit (Tehran):</w:t>
      </w:r>
      <w:r>
        <w:t xml:space="preserve"> </w:t>
      </w:r>
      <w:r>
        <w:t xml:space="preserve">$12,500 (vs. Tehran average $14,800 for comparable services)</w:t>
      </w:r>
    </w:p>
    <w:p>
      <w:pPr>
        <w:numPr>
          <w:ilvl w:val="0"/>
          <w:numId w:val="1005"/>
        </w:numPr>
        <w:pStyle w:val="Compact"/>
      </w:pPr>
      <w:r>
        <w:rPr>
          <w:bCs/>
          <w:b/>
        </w:rPr>
        <w:t xml:space="preserve">Government Entity Package:</w:t>
      </w:r>
      <w:r>
        <w:t xml:space="preserve"> </w:t>
      </w:r>
      <w:r>
        <w:t xml:space="preserve">Fixed-fee structure at 15% below market to secure contracts</w:t>
      </w:r>
    </w:p>
    <w:p>
      <w:pPr>
        <w:numPr>
          <w:ilvl w:val="0"/>
          <w:numId w:val="1005"/>
        </w:numPr>
        <w:pStyle w:val="Compact"/>
      </w:pPr>
      <w:r>
        <w:rPr>
          <w:bCs/>
          <w:b/>
        </w:rPr>
        <w:t xml:space="preserve">Bundled Digital Tools:</w:t>
      </w:r>
      <w:r>
        <w:t xml:space="preserve"> </w:t>
      </w:r>
      <w:r>
        <w:t xml:space="preserve">Free access to TAE's Iran-specific financial risk dashboard ($750 value included)</w:t>
      </w:r>
    </w:p>
    <w:p>
      <w:pPr>
        <w:pStyle w:val="FirstParagraph"/>
      </w:pPr>
      <w:r>
        <w:t xml:space="preserve">*Pricing includes all government fees and Persian-language reporting – eliminating hidden costs common with foreign auditors.</w:t>
      </w:r>
    </w:p>
    <w:bookmarkEnd w:id="25"/>
    <w:bookmarkStart w:id="26" w:name="X7b970c6c7e5a1b3a2ea97ab5801e898ff5930b0"/>
    <w:p>
      <w:pPr>
        <w:pStyle w:val="Heading3"/>
      </w:pPr>
      <w:r>
        <w:t xml:space="preserve">C. Place (Distribution) Strategy: Tehran-Centric Operations</w:t>
      </w:r>
    </w:p>
    <w:p>
      <w:pPr>
        <w:pStyle w:val="FirstParagraph"/>
      </w:pPr>
      <w:r>
        <w:t xml:space="preserve">Establish physical presence in key Tehran business districts:</w:t>
      </w:r>
    </w:p>
    <w:p>
      <w:pPr>
        <w:numPr>
          <w:ilvl w:val="0"/>
          <w:numId w:val="1006"/>
        </w:numPr>
        <w:pStyle w:val="Compact"/>
      </w:pPr>
      <w:r>
        <w:t xml:space="preserve">Headquarters in Velenjak, near Tehran Stock Exchange and Ministry of Economic Affairs</w:t>
      </w:r>
    </w:p>
    <w:p>
      <w:pPr>
        <w:numPr>
          <w:ilvl w:val="0"/>
          <w:numId w:val="1006"/>
        </w:numPr>
        <w:pStyle w:val="Compact"/>
      </w:pPr>
      <w:r>
        <w:t xml:space="preserve">Satellite offices in Sa'adat Abad (for industrial clients) and Naser Khosrow (for finance sector)</w:t>
      </w:r>
    </w:p>
    <w:p>
      <w:pPr>
        <w:numPr>
          <w:ilvl w:val="0"/>
          <w:numId w:val="1006"/>
        </w:numPr>
        <w:pStyle w:val="Compact"/>
      </w:pPr>
      <w:r>
        <w:t xml:space="preserve">On-demand audit teams deployed within 48 hours across Tehran's 22 districts</w:t>
      </w:r>
    </w:p>
    <w:bookmarkEnd w:id="26"/>
    <w:bookmarkStart w:id="27" w:name="Xc0f5b984dec78f46b1658ae4fbc407379967707"/>
    <w:p>
      <w:pPr>
        <w:pStyle w:val="Heading3"/>
      </w:pPr>
      <w:r>
        <w:t xml:space="preserve">D. Promotion Strategy: Trust-Building in Iran Tehran Culture</w:t>
      </w:r>
    </w:p>
    <w:p>
      <w:pPr>
        <w:pStyle w:val="FirstParagraph"/>
      </w:pPr>
      <w:r>
        <w:t xml:space="preserve">Leverage high-trust channels aligned with Iranian business culture:</w:t>
      </w:r>
    </w:p>
    <w:p>
      <w:pPr>
        <w:numPr>
          <w:ilvl w:val="0"/>
          <w:numId w:val="1007"/>
        </w:numPr>
        <w:pStyle w:val="Compact"/>
      </w:pPr>
      <w:r>
        <w:rPr>
          <w:bCs/>
          <w:b/>
        </w:rPr>
        <w:t xml:space="preserve">Government Partnerships:</w:t>
      </w:r>
      <w:r>
        <w:t xml:space="preserve"> </w:t>
      </w:r>
      <w:r>
        <w:t xml:space="preserve">Co-host seminars with Tehran Chamber of Commerce on "Compliance 2024"</w:t>
      </w:r>
    </w:p>
    <w:p>
      <w:pPr>
        <w:numPr>
          <w:ilvl w:val="0"/>
          <w:numId w:val="1007"/>
        </w:numPr>
        <w:pStyle w:val="Compact"/>
      </w:pPr>
      <w:r>
        <w:rPr>
          <w:bCs/>
          <w:b/>
        </w:rPr>
        <w:t xml:space="preserve">Cultural Workshops:</w:t>
      </w:r>
      <w:r>
        <w:t xml:space="preserve"> </w:t>
      </w:r>
      <w:r>
        <w:t xml:space="preserve">Monthly Farsi-language webinars on "Iranian Financial Ethics" featuring TAE's lead Auditor</w:t>
      </w:r>
    </w:p>
    <w:p>
      <w:pPr>
        <w:numPr>
          <w:ilvl w:val="0"/>
          <w:numId w:val="1007"/>
        </w:numPr>
        <w:pStyle w:val="Compact"/>
      </w:pPr>
      <w:r>
        <w:rPr>
          <w:bCs/>
          <w:b/>
        </w:rPr>
        <w:t xml:space="preserve">Local Influencers:</w:t>
      </w:r>
      <w:r>
        <w:t xml:space="preserve"> </w:t>
      </w:r>
      <w:r>
        <w:t xml:space="preserve">Collaborate with respected Tehran business figures (e.g., former IRGC Economic Advisors) for testimonials</w:t>
      </w:r>
    </w:p>
    <w:p>
      <w:pPr>
        <w:numPr>
          <w:ilvl w:val="0"/>
          <w:numId w:val="1007"/>
        </w:numPr>
        <w:pStyle w:val="Compact"/>
      </w:pPr>
      <w:r>
        <w:rPr>
          <w:bCs/>
          <w:b/>
        </w:rPr>
        <w:t xml:space="preserve">Digital Campaigns:</w:t>
      </w:r>
      <w:r>
        <w:t xml:space="preserve"> </w:t>
      </w:r>
      <w:r>
        <w:t xml:space="preserve">Targeted LinkedIn ads focused on Tehran-based CFOs + Google Ads in Persian targeting "auditor Iran"</w:t>
      </w:r>
    </w:p>
    <w:p>
      <w:pPr>
        <w:numPr>
          <w:ilvl w:val="0"/>
          <w:numId w:val="1007"/>
        </w:numPr>
        <w:pStyle w:val="Compact"/>
      </w:pPr>
      <w:r>
        <w:rPr>
          <w:bCs/>
          <w:b/>
        </w:rPr>
        <w:t xml:space="preserve">Referral Program:</w:t>
      </w:r>
      <w:r>
        <w:t xml:space="preserve"> </w:t>
      </w:r>
      <w:r>
        <w:t xml:space="preserve">20% discount for existing clients referring new Tehran businesses</w:t>
      </w:r>
    </w:p>
    <w:bookmarkEnd w:id="27"/>
    <w:bookmarkEnd w:id="28"/>
    <w:bookmarkStart w:id="29" w:name="vi.-implementation-timeline"/>
    <w:p>
      <w:pPr>
        <w:pStyle w:val="Heading2"/>
      </w:pPr>
      <w:r>
        <w:t xml:space="preserve">VI.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(Jan-Mar)</w:t>
            </w:r>
          </w:p>
        </w:tc>
        <w:tc>
          <w:tcPr/>
          <w:p>
            <w:pPr>
              <w:pStyle w:val="Compact"/>
              <w:jc w:val="left"/>
            </w:pPr>
            <w:r>
              <w:t xml:space="preserve">Lay foundation: Secure Tehran office leases, hire 5 Persian-speaking auditors, launch website with Farsi/English options</w:t>
            </w:r>
          </w:p>
        </w:tc>
      </w:tr>
      <w:tr>
        <w:tc>
          <w:tcPr/>
          <w:p>
            <w:pPr>
              <w:pStyle w:val="Compact"/>
              <w:jc w:val="left"/>
            </w:pPr>
            <w:r>
              <w:t xml:space="preserve">Q2 (Apr-Jun)</w:t>
            </w:r>
          </w:p>
        </w:tc>
        <w:tc>
          <w:tcPr/>
          <w:p>
            <w:pPr>
              <w:pStyle w:val="Compact"/>
              <w:jc w:val="left"/>
            </w:pPr>
            <w:r>
              <w:t xml:space="preserve">Launch government partnership pilot with Tehran Municipal Corporation; begin workshops at Tehran University of Medical Sciences</w:t>
            </w:r>
          </w:p>
        </w:tc>
      </w:tr>
      <w:tr>
        <w:tc>
          <w:tcPr/>
          <w:p>
            <w:pPr>
              <w:pStyle w:val="Compact"/>
              <w:jc w:val="left"/>
            </w:pPr>
            <w:r>
              <w:t xml:space="preserve">Q3 (Jul-Sep)</w:t>
            </w:r>
          </w:p>
        </w:tc>
        <w:tc>
          <w:tcPr/>
          <w:p>
            <w:pPr>
              <w:pStyle w:val="Compact"/>
              <w:jc w:val="left"/>
            </w:pPr>
            <w:r>
              <w:t xml:space="preserve">Serve 15+ corporate clients; implement referral program; secure first GLE contract</w:t>
            </w:r>
          </w:p>
        </w:tc>
      </w:tr>
      <w:tr>
        <w:tc>
          <w:tcPr/>
          <w:p>
            <w:pPr>
              <w:pStyle w:val="Compact"/>
              <w:jc w:val="left"/>
            </w:pPr>
            <w:r>
              <w:t xml:space="preserve">Q4 (Oct-Dec)</w:t>
            </w:r>
          </w:p>
        </w:tc>
        <w:tc>
          <w:tcPr/>
          <w:p>
            <w:pPr>
              <w:pStyle w:val="Compact"/>
              <w:jc w:val="left"/>
            </w:pPr>
            <w:r>
              <w:t xml:space="preserve">Expand to industrial zone audits in Tehran South, publish year-end compliance report for Tehran businesses</w:t>
            </w:r>
          </w:p>
        </w:tc>
      </w:tr>
    </w:tbl>
    <w:bookmarkEnd w:id="29"/>
    <w:bookmarkStart w:id="30" w:name="vii.-budget-allocation-1.8m-total"/>
    <w:p>
      <w:pPr>
        <w:pStyle w:val="Heading2"/>
      </w:pPr>
      <w:r>
        <w:t xml:space="preserve">VII. Budget Allocation ($1.8M Total)</w:t>
      </w:r>
    </w:p>
    <w:p>
      <w:pPr>
        <w:pStyle w:val="FirstParagraph"/>
      </w:pPr>
      <w:r>
        <w:rPr>
          <w:bCs/>
          <w:b/>
        </w:rPr>
        <w:t xml:space="preserve">Marketing Investment Breakdown:</w:t>
      </w:r>
    </w:p>
    <w:p>
      <w:pPr>
        <w:numPr>
          <w:ilvl w:val="0"/>
          <w:numId w:val="1008"/>
        </w:numPr>
        <w:pStyle w:val="Compact"/>
      </w:pPr>
      <w:r>
        <w:t xml:space="preserve">Local Talent Acquisition (Tehran-based auditors): $650,000</w:t>
      </w:r>
    </w:p>
    <w:p>
      <w:pPr>
        <w:numPr>
          <w:ilvl w:val="0"/>
          <w:numId w:val="1008"/>
        </w:numPr>
        <w:pStyle w:val="Compact"/>
      </w:pPr>
      <w:r>
        <w:t xml:space="preserve">Cultural Marketing (Workshops/Events in Tehran): $420,000</w:t>
      </w:r>
    </w:p>
    <w:p>
      <w:pPr>
        <w:numPr>
          <w:ilvl w:val="0"/>
          <w:numId w:val="1008"/>
        </w:numPr>
        <w:pStyle w:val="Compact"/>
      </w:pPr>
      <w:r>
        <w:t xml:space="preserve">Digital Campaigns Targeting Tehran Businesses: $315,000</w:t>
      </w:r>
    </w:p>
    <w:p>
      <w:pPr>
        <w:numPr>
          <w:ilvl w:val="0"/>
          <w:numId w:val="1008"/>
        </w:numPr>
        <w:pStyle w:val="Compact"/>
      </w:pPr>
      <w:r>
        <w:t xml:space="preserve">Government Partnership Development: $275,000</w:t>
      </w:r>
    </w:p>
    <w:p>
      <w:pPr>
        <w:numPr>
          <w:ilvl w:val="0"/>
          <w:numId w:val="1008"/>
        </w:numPr>
        <w:pStyle w:val="Compact"/>
      </w:pPr>
      <w:r>
        <w:t xml:space="preserve">Contingency (Iran-specific regulatory changes): $140,000</w:t>
      </w:r>
    </w:p>
    <w:bookmarkEnd w:id="30"/>
    <w:bookmarkStart w:id="31" w:name="X302ba3918ff4f7d3186e6171ae2742fa3b7886e"/>
    <w:p>
      <w:pPr>
        <w:pStyle w:val="Heading2"/>
      </w:pPr>
      <w:r>
        <w:t xml:space="preserve">VIII. Measurement &amp; Control: Iran Tehran Metrics</w:t>
      </w:r>
    </w:p>
    <w:p>
      <w:pPr>
        <w:pStyle w:val="FirstParagraph"/>
      </w:pPr>
      <w:r>
        <w:t xml:space="preserve">Success is tracked through Tehran-specific KPIs:</w:t>
      </w:r>
    </w:p>
    <w:p>
      <w:pPr>
        <w:numPr>
          <w:ilvl w:val="0"/>
          <w:numId w:val="1009"/>
        </w:numPr>
        <w:pStyle w:val="Compact"/>
      </w:pPr>
      <w:r>
        <w:rPr>
          <w:bCs/>
          <w:b/>
        </w:rPr>
        <w:t xml:space="preserve">Client Acquisition Cost (CAC):</w:t>
      </w:r>
      <w:r>
        <w:t xml:space="preserve"> </w:t>
      </w:r>
      <w:r>
        <w:t xml:space="preserve">Target: $3,800/Tehran client (below industry average of $5,200)</w:t>
      </w:r>
    </w:p>
    <w:p>
      <w:pPr>
        <w:numPr>
          <w:ilvl w:val="0"/>
          <w:numId w:val="1009"/>
        </w:numPr>
        <w:pStyle w:val="Compact"/>
      </w:pPr>
      <w:r>
        <w:rPr>
          <w:bCs/>
          <w:b/>
        </w:rPr>
        <w:t xml:space="preserve">Satisfaction Score:</w:t>
      </w:r>
      <w:r>
        <w:t xml:space="preserve"> </w:t>
      </w:r>
      <w:r>
        <w:t xml:space="preserve">Monitor via post-audit Farsi surveys on Tehran-based platform "Shabake" (Target: 92% positive)</w:t>
      </w:r>
    </w:p>
    <w:p>
      <w:pPr>
        <w:numPr>
          <w:ilvl w:val="0"/>
          <w:numId w:val="1009"/>
        </w:numPr>
        <w:pStyle w:val="Compact"/>
      </w:pPr>
      <w:r>
        <w:rPr>
          <w:bCs/>
          <w:b/>
        </w:rPr>
        <w:t xml:space="preserve">Tehran Market Penetration:</w:t>
      </w:r>
      <w:r>
        <w:t xml:space="preserve"> </w:t>
      </w:r>
      <w:r>
        <w:t xml:space="preserve">Monthly tracking of client count in Tehran business districts</w:t>
      </w:r>
    </w:p>
    <w:p>
      <w:pPr>
        <w:numPr>
          <w:ilvl w:val="0"/>
          <w:numId w:val="1009"/>
        </w:numPr>
        <w:pStyle w:val="Compact"/>
      </w:pPr>
      <w:r>
        <w:rPr>
          <w:bCs/>
          <w:b/>
        </w:rPr>
        <w:t xml:space="preserve">Compliance Rate:</w:t>
      </w:r>
      <w:r>
        <w:t xml:space="preserve"> </w:t>
      </w:r>
      <w:r>
        <w:t xml:space="preserve">% of audits meeting Iran Ministry of Economic Affairs standards (Target: 100%)</w:t>
      </w:r>
    </w:p>
    <w:bookmarkEnd w:id="31"/>
    <w:bookmarkStart w:id="32" w:name="X5e03c1e419e68c125c41378c12093719458e9ca"/>
    <w:p>
      <w:pPr>
        <w:pStyle w:val="Heading2"/>
      </w:pPr>
      <w:r>
        <w:t xml:space="preserve">IX. Conclusion: Why Tehran Needs This Auditor Strategy</w:t>
      </w:r>
    </w:p>
    <w:p>
      <w:pPr>
        <w:pStyle w:val="FirstParagraph"/>
      </w:pPr>
      <w:r>
        <w:t xml:space="preserve">The Iranian business environment demands more than transactional auditing – it requires an Auditor partner who understands Tehran's cultural rhythms, economic pressures, and regulatory nuances. Tehran Audit Excellence closes this critical gap by embedding local expertise into every service layer. As Iran accelerates toward economic modernization, our Marketing Plan positions TAE not merely as an auditor but as a strategic catalyst for business integrity in Tehran. This isn't just about audits; it's about enabling Iranian enterprises to operate with global confidence while honoring local context. With this plan, we transform audit services from cost centers into competitive advantages for every client operating within Iran Tehran.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Iran Tehran</dc:title>
  <dc:creator/>
  <dc:language>en</dc:language>
  <cp:keywords/>
  <dcterms:created xsi:type="dcterms:W3CDTF">2026-07-19T12:58:32Z</dcterms:created>
  <dcterms:modified xsi:type="dcterms:W3CDTF">2026-07-19T12:58:32Z</dcterms:modified>
</cp:coreProperties>
</file>

<file path=docProps/custom.xml><?xml version="1.0" encoding="utf-8"?>
<Properties xmlns="http://schemas.openxmlformats.org/officeDocument/2006/custom-properties" xmlns:vt="http://schemas.openxmlformats.org/officeDocument/2006/docPropsVTypes"/>
</file>