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Kuwait</w:t>
      </w:r>
      <w:r>
        <w:t xml:space="preserve"> </w:t>
      </w:r>
      <w:r>
        <w:t xml:space="preserve">City</w:t>
      </w:r>
    </w:p>
    <w:bookmarkStart w:id="29" w:name="X79a002b6d925ea1a14a1b4a6ca39a53eb50bc11"/>
    <w:p>
      <w:pPr>
        <w:pStyle w:val="Heading1"/>
      </w:pPr>
      <w:r>
        <w:t xml:space="preserve">Comprehensive Marketing Plan for Professional Auditor Services in Kuwait City, Kuwait</w:t>
      </w:r>
    </w:p>
    <w:bookmarkStart w:id="20" w:name="executive-summary"/>
    <w:p>
      <w:pPr>
        <w:pStyle w:val="Heading2"/>
      </w:pPr>
      <w:r>
        <w:t xml:space="preserve">Executive Summary</w:t>
      </w:r>
    </w:p>
    <w:p>
      <w:pPr>
        <w:pStyle w:val="FirstParagraph"/>
      </w:pPr>
      <w:r>
        <w:t xml:space="preserve">This Marketing Plan outlines a strategic roadmap for establishing and growing premium auditor services within the dynamic business landscape of Kuwait City. As a specialized auditing firm targeting multinational corporations, SMEs, and government entities across Kuwait, our focus is on delivering compliance excellence that aligns with Kuwaiti regulatory frameworks (including KIA standards and MOCI requirements). The plan details market entry strategies, competitive differentiation in the Kuwait City market, and a 3-year growth trajectory designed to capture 15% market share by Year 3 while reinforcing our position as the preferred Auditor partner for businesses operating within Kuwait City.</w:t>
      </w:r>
    </w:p>
    <w:bookmarkEnd w:id="20"/>
    <w:bookmarkStart w:id="21" w:name="X4a444931e16aff8f0b500729536f48b7c2466e6"/>
    <w:p>
      <w:pPr>
        <w:pStyle w:val="Heading2"/>
      </w:pPr>
      <w:r>
        <w:t xml:space="preserve">Situation Analysis: The Kuwaiti Audit Market</w:t>
      </w:r>
    </w:p>
    <w:p>
      <w:pPr>
        <w:pStyle w:val="FirstParagraph"/>
      </w:pPr>
      <w:r>
        <w:t xml:space="preserve">The auditing sector in Kuwait City has experienced significant evolution due to regulatory reforms (such as the 2018 Commercial Companies Law amendments) and increasing foreign investment. However, a critical gap persists between rising compliance demands and available local expertise. While multinational audit firms dominate large corporate contracts, SMEs in Kuwait City face challenges accessing affordable yet reliable Auditor services that understand both international standards (IFRS) and Kuwaiti commercial practices. Our analysis reveals 68% of Kuwaiti businesses rate current auditor service quality as "average" due to cultural misalignment, slow response times, and lack of localized regulatory knowledge – creating a prime opportunity for our specialized approach.</w:t>
      </w:r>
    </w:p>
    <w:bookmarkEnd w:id="21"/>
    <w:bookmarkStart w:id="22" w:name="Xcaa3671a9b11c5ff5f2aac6f3cb338abac7e1aa"/>
    <w:p>
      <w:pPr>
        <w:pStyle w:val="Heading2"/>
      </w:pPr>
      <w:r>
        <w:t xml:space="preserve">Target Audience Segmentation in Kuwait City</w:t>
      </w:r>
    </w:p>
    <w:p>
      <w:pPr>
        <w:pStyle w:val="FirstParagraph"/>
      </w:pPr>
      <w:r>
        <w:t xml:space="preserve">We have identified three priority segments for our Auditor services within Kuwait City:</w:t>
      </w:r>
    </w:p>
    <w:p>
      <w:pPr>
        <w:numPr>
          <w:ilvl w:val="0"/>
          <w:numId w:val="1001"/>
        </w:numPr>
        <w:pStyle w:val="Compact"/>
      </w:pPr>
      <w:r>
        <w:rPr>
          <w:bCs/>
          <w:b/>
        </w:rPr>
        <w:t xml:space="preserve">Multinational Corporations (MNCs):</w:t>
      </w:r>
      <w:r>
        <w:t xml:space="preserve"> </w:t>
      </w:r>
      <w:r>
        <w:t xml:space="preserve">Operating subsidiaries in Kuwait City requiring IFRS-compliant audits with cross-border regulatory coordination. Key pain points: navigating local tax authorities and minimizing audit disruption to operations.</w:t>
      </w:r>
    </w:p>
    <w:p>
      <w:pPr>
        <w:numPr>
          <w:ilvl w:val="0"/>
          <w:numId w:val="1001"/>
        </w:numPr>
        <w:pStyle w:val="Compact"/>
      </w:pPr>
      <w:r>
        <w:rPr>
          <w:bCs/>
          <w:b/>
        </w:rPr>
        <w:t xml:space="preserve">Kuwaiti SMEs:</w:t>
      </w:r>
      <w:r>
        <w:t xml:space="preserve"> </w:t>
      </w:r>
      <w:r>
        <w:t xml:space="preserve">Local businesses expanding beyond domestic markets, needing cost-effective Auditor services that simplify Ministry of Commerce (MOCI) filings and enhance investor confidence. 74% lack dedicated finance teams for audit preparation.</w:t>
      </w:r>
    </w:p>
    <w:p>
      <w:pPr>
        <w:numPr>
          <w:ilvl w:val="0"/>
          <w:numId w:val="1001"/>
        </w:numPr>
        <w:pStyle w:val="Compact"/>
      </w:pPr>
      <w:r>
        <w:rPr>
          <w:bCs/>
          <w:b/>
        </w:rPr>
        <w:t xml:space="preserve">Government-Linked Entities (GLEs):</w:t>
      </w:r>
      <w:r>
        <w:t xml:space="preserve"> </w:t>
      </w:r>
      <w:r>
        <w:t xml:space="preserve">State-owned enterprises and public institutions requiring transparent auditing for KAFD compliance, with emphasis on anti-corruption measures under Kuwait’s new governance framework.</w:t>
      </w:r>
    </w:p>
    <w:bookmarkEnd w:id="22"/>
    <w:bookmarkStart w:id="23" w:name="Xe095c690fca396a3e84770ff6f7cc4ea0b78fe5"/>
    <w:p>
      <w:pPr>
        <w:pStyle w:val="Heading2"/>
      </w:pPr>
      <w:r>
        <w:t xml:space="preserve">Marketing Objectives for Kuwait City Market</w:t>
      </w:r>
    </w:p>
    <w:p>
      <w:pPr>
        <w:pStyle w:val="FirstParagraph"/>
      </w:pPr>
      <w:r>
        <w:t xml:space="preserve">By the end of Year 1 in Kuwait City, we will achieve:</w:t>
      </w:r>
    </w:p>
    <w:p>
      <w:pPr>
        <w:numPr>
          <w:ilvl w:val="0"/>
          <w:numId w:val="1002"/>
        </w:numPr>
        <w:pStyle w:val="Compact"/>
      </w:pPr>
      <w:r>
        <w:t xml:space="preserve">Secure 45+ active client contracts across all three target segments within Kuwait City.</w:t>
      </w:r>
    </w:p>
    <w:p>
      <w:pPr>
        <w:numPr>
          <w:ilvl w:val="0"/>
          <w:numId w:val="1002"/>
        </w:numPr>
        <w:pStyle w:val="Compact"/>
      </w:pPr>
      <w:r>
        <w:t xml:space="preserve">Attain a minimum 85% client retention rate through exceptional service quality (measured via quarterly satisfaction surveys).</w:t>
      </w:r>
    </w:p>
    <w:p>
      <w:pPr>
        <w:numPr>
          <w:ilvl w:val="0"/>
          <w:numId w:val="1002"/>
        </w:numPr>
        <w:pStyle w:val="Compact"/>
      </w:pPr>
      <w:r>
        <w:t xml:space="preserve">Establish brand recognition as the top-rated Auditor for SMEs in Kuwait City (per local business association surveys).</w:t>
      </w:r>
    </w:p>
    <w:p>
      <w:pPr>
        <w:numPr>
          <w:ilvl w:val="0"/>
          <w:numId w:val="1002"/>
        </w:numPr>
        <w:pStyle w:val="Compact"/>
      </w:pPr>
      <w:r>
        <w:t xml:space="preserve">Generate $1.2M in revenue from Kuwait City operations by Q4 Year 1.</w:t>
      </w:r>
    </w:p>
    <w:bookmarkEnd w:id="23"/>
    <w:bookmarkStart w:id="24" w:name="Xe570e06e062f0c875d5ac1c294c46572224727e"/>
    <w:p>
      <w:pPr>
        <w:pStyle w:val="Heading2"/>
      </w:pPr>
      <w:r>
        <w:t xml:space="preserve">Strategic Differentiation: Why Our Auditor Service Stands Out</w:t>
      </w:r>
    </w:p>
    <w:p>
      <w:pPr>
        <w:pStyle w:val="FirstParagraph"/>
      </w:pPr>
      <w:r>
        <w:t xml:space="preserve">In the competitive landscape of Kuwait City, we differentiate through:</w:t>
      </w:r>
    </w:p>
    <w:p>
      <w:pPr>
        <w:numPr>
          <w:ilvl w:val="0"/>
          <w:numId w:val="1003"/>
        </w:numPr>
        <w:pStyle w:val="Compact"/>
      </w:pPr>
      <w:r>
        <w:rPr>
          <w:bCs/>
          <w:b/>
        </w:rPr>
        <w:t xml:space="preserve">Cultural &amp; Regulatory Mastery:</w:t>
      </w:r>
      <w:r>
        <w:t xml:space="preserve"> </w:t>
      </w:r>
      <w:r>
        <w:t xml:space="preserve">All our auditors are licensed by the Kuwait Council of Ministers and possess deep expertise in local laws (e.g., VAT regulations, MOCI circulars), eliminating costly compliance missteps.</w:t>
      </w:r>
    </w:p>
    <w:p>
      <w:pPr>
        <w:numPr>
          <w:ilvl w:val="0"/>
          <w:numId w:val="1003"/>
        </w:numPr>
        <w:pStyle w:val="Compact"/>
      </w:pPr>
      <w:r>
        <w:rPr>
          <w:bCs/>
          <w:b/>
        </w:rPr>
        <w:t xml:space="preserve">Kuwait City-Specific Service Model:</w:t>
      </w:r>
      <w:r>
        <w:t xml:space="preserve"> </w:t>
      </w:r>
      <w:r>
        <w:t xml:space="preserve">We deploy mobile audit teams based in Kuwait City’s Business District (KBD), enabling same-week site visits for clients – a rarity among international firms with offshore centers.</w:t>
      </w:r>
    </w:p>
    <w:p>
      <w:pPr>
        <w:numPr>
          <w:ilvl w:val="0"/>
          <w:numId w:val="1003"/>
        </w:numPr>
        <w:pStyle w:val="Compact"/>
      </w:pPr>
      <w:r>
        <w:rPr>
          <w:bCs/>
          <w:b/>
        </w:rPr>
        <w:t xml:space="preserve">Technology Integration:</w:t>
      </w:r>
      <w:r>
        <w:t xml:space="preserve"> </w:t>
      </w:r>
      <w:r>
        <w:t xml:space="preserve">Our proprietary "Kuwait Audit Portal" provides real-time progress tracking in Arabic/English, compliant with Kuwait’s National Data Center requirements for financial reporting.</w:t>
      </w:r>
    </w:p>
    <w:bookmarkEnd w:id="24"/>
    <w:bookmarkStart w:id="25" w:name="marketing-strategies-tactics"/>
    <w:p>
      <w:pPr>
        <w:pStyle w:val="Heading2"/>
      </w:pPr>
      <w:r>
        <w:t xml:space="preserve">Marketing Strategies &amp; Tactics</w:t>
      </w:r>
    </w:p>
    <w:p>
      <w:pPr>
        <w:pStyle w:val="FirstParagraph"/>
      </w:pPr>
      <w:r>
        <w:rPr>
          <w:bCs/>
          <w:b/>
        </w:rPr>
        <w:t xml:space="preserve">Phase 1: Market Entry (Months 1-6)</w:t>
      </w:r>
    </w:p>
    <w:p>
      <w:pPr>
        <w:numPr>
          <w:ilvl w:val="0"/>
          <w:numId w:val="1004"/>
        </w:numPr>
        <w:pStyle w:val="Compact"/>
      </w:pPr>
      <w:r>
        <w:rPr>
          <w:iCs/>
          <w:i/>
        </w:rPr>
        <w:t xml:space="preserve">Partnership Development:</w:t>
      </w:r>
      <w:r>
        <w:t xml:space="preserve"> </w:t>
      </w:r>
      <w:r>
        <w:t xml:space="preserve">Forge alliances with Kuwait City chambers of commerce (e.g., Kuwait Chamber of Commerce) and legal firms like Al-Sabah &amp; Partners to co-host "Regulatory Compliance Webinars" targeting new businesses.</w:t>
      </w:r>
    </w:p>
    <w:p>
      <w:pPr>
        <w:numPr>
          <w:ilvl w:val="0"/>
          <w:numId w:val="1004"/>
        </w:numPr>
        <w:pStyle w:val="Compact"/>
      </w:pPr>
      <w:r>
        <w:rPr>
          <w:iCs/>
          <w:i/>
        </w:rPr>
        <w:t xml:space="preserve">Pilot Programs:</w:t>
      </w:r>
      <w:r>
        <w:t xml:space="preserve"> </w:t>
      </w:r>
      <w:r>
        <w:t xml:space="preserve">Offer free 3-month audit readiness assessments to 20 selected SMEs in Kuwait City, with a conversion rate goal of 65% for paid contracts.</w:t>
      </w:r>
    </w:p>
    <w:p>
      <w:pPr>
        <w:pStyle w:val="FirstParagraph"/>
      </w:pPr>
      <w:r>
        <w:rPr>
          <w:bCs/>
          <w:b/>
        </w:rPr>
        <w:t xml:space="preserve">Phase 2: Growth &amp; Differentiation (Months 7-18)</w:t>
      </w:r>
    </w:p>
    <w:p>
      <w:pPr>
        <w:numPr>
          <w:ilvl w:val="0"/>
          <w:numId w:val="1005"/>
        </w:numPr>
        <w:pStyle w:val="Compact"/>
      </w:pPr>
      <w:r>
        <w:rPr>
          <w:iCs/>
          <w:i/>
        </w:rPr>
        <w:t xml:space="preserve">Localized Content Marketing:</w:t>
      </w:r>
      <w:r>
        <w:t xml:space="preserve"> </w:t>
      </w:r>
      <w:r>
        <w:t xml:space="preserve">Publish monthly "Kuwait Audit Insights" reports on regulatory changes via LinkedIn and WhatsApp (preferred channels for Kuwaiti business leaders), featuring case studies from Kuwait City clients.</w:t>
      </w:r>
    </w:p>
    <w:p>
      <w:pPr>
        <w:numPr>
          <w:ilvl w:val="0"/>
          <w:numId w:val="1005"/>
        </w:numPr>
        <w:pStyle w:val="Compact"/>
      </w:pPr>
      <w:r>
        <w:rPr>
          <w:iCs/>
          <w:i/>
        </w:rPr>
        <w:t xml:space="preserve">Community Engagement:</w:t>
      </w:r>
      <w:r>
        <w:t xml:space="preserve"> </w:t>
      </w:r>
      <w:r>
        <w:t xml:space="preserve">Sponsor the "Kuwait Business Excellence Award," positioning our Auditor team as judges to build credibility with high-profile Kuwait City enterprises.</w:t>
      </w:r>
    </w:p>
    <w:p>
      <w:pPr>
        <w:pStyle w:val="FirstParagraph"/>
      </w:pPr>
      <w:r>
        <w:rPr>
          <w:bCs/>
          <w:b/>
        </w:rPr>
        <w:t xml:space="preserve">Phase 3: Market Leadership (Months 19-36)</w:t>
      </w:r>
    </w:p>
    <w:p>
      <w:pPr>
        <w:numPr>
          <w:ilvl w:val="0"/>
          <w:numId w:val="1006"/>
        </w:numPr>
        <w:pStyle w:val="Compact"/>
      </w:pPr>
      <w:r>
        <w:rPr>
          <w:iCs/>
          <w:i/>
        </w:rPr>
        <w:t xml:space="preserve">Strategic Expansion:</w:t>
      </w:r>
      <w:r>
        <w:t xml:space="preserve"> </w:t>
      </w:r>
      <w:r>
        <w:t xml:space="preserve">Launch "Audit-as-a-Service" subscription packages for recurring revenue, targeting Kuwait City’s growing fintech sector.</w:t>
      </w:r>
    </w:p>
    <w:p>
      <w:pPr>
        <w:numPr>
          <w:ilvl w:val="0"/>
          <w:numId w:val="1006"/>
        </w:numPr>
        <w:pStyle w:val="Compact"/>
      </w:pPr>
      <w:r>
        <w:rPr>
          <w:iCs/>
          <w:i/>
        </w:rPr>
        <w:t xml:space="preserve">National Recognition:</w:t>
      </w:r>
      <w:r>
        <w:t xml:space="preserve"> </w:t>
      </w:r>
      <w:r>
        <w:t xml:space="preserve">Partner with the Ministry of Finance to develop training modules for local auditors, enhancing our thought leadership as the go-to Auditor authority in Kuwait.</w:t>
      </w:r>
    </w:p>
    <w:bookmarkEnd w:id="25"/>
    <w:bookmarkStart w:id="26" w:name="budget-allocation-kuwait-city-focus"/>
    <w:p>
      <w:pPr>
        <w:pStyle w:val="Heading2"/>
      </w:pPr>
      <w:r>
        <w:t xml:space="preserve">Budget Allocation: Kuwait City Focus</w:t>
      </w:r>
    </w:p>
    <w:p>
      <w:pPr>
        <w:pStyle w:val="FirstParagraph"/>
      </w:pPr>
      <w:r>
        <w:t xml:space="preserve">Total Year 1 Marketing Budget: $385,000 (65% allocated to Kuwait City-specific activities)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Kuwait City Focus</w:t>
            </w:r>
          </w:p>
        </w:tc>
      </w:tr>
      <w:tr>
        <w:tc>
          <w:tcPr/>
          <w:p>
            <w:pPr>
              <w:pStyle w:val="Compact"/>
              <w:jc w:val="left"/>
            </w:pPr>
            <w:r>
              <w:t xml:space="preserve">Local Event Sponsorships (Chambers, Conferences)</w:t>
            </w:r>
          </w:p>
        </w:tc>
        <w:tc>
          <w:tcPr/>
          <w:p>
            <w:pPr>
              <w:pStyle w:val="Compact"/>
              <w:jc w:val="left"/>
            </w:pPr>
            <w:r>
              <w:t xml:space="preserve">$95,000</w:t>
            </w:r>
          </w:p>
        </w:tc>
        <w:tc>
          <w:tcPr/>
          <w:p>
            <w:pPr>
              <w:pStyle w:val="Compact"/>
              <w:jc w:val="left"/>
            </w:pPr>
            <w:r>
              <w:t xml:space="preserve">100% Kuwait City locations (e.g., Kuwait International Exhibition Centre)</w:t>
            </w:r>
          </w:p>
        </w:tc>
      </w:tr>
      <w:tr>
        <w:tc>
          <w:tcPr/>
          <w:p>
            <w:pPr>
              <w:pStyle w:val="Compact"/>
              <w:jc w:val="left"/>
            </w:pPr>
            <w:r>
              <w:t xml:space="preserve">Digital Campaigns (Targeting Kuwaiti Business Domains)</w:t>
            </w:r>
          </w:p>
        </w:tc>
        <w:tc>
          <w:tcPr/>
          <w:p>
            <w:pPr>
              <w:pStyle w:val="Compact"/>
              <w:jc w:val="left"/>
            </w:pPr>
            <w:r>
              <w:t xml:space="preserve">$125,000</w:t>
            </w:r>
          </w:p>
        </w:tc>
        <w:tc>
          <w:tcPr/>
          <w:p>
            <w:pPr>
              <w:pStyle w:val="Compact"/>
              <w:jc w:val="left"/>
            </w:pPr>
            <w:r>
              <w:t xml:space="preserve">Arabic-language Google Ads targeting "auditor in Kuwait City" keywords</w:t>
            </w:r>
          </w:p>
        </w:tc>
      </w:tr>
      <w:tr>
        <w:tc>
          <w:tcPr/>
          <w:p>
            <w:pPr>
              <w:pStyle w:val="Compact"/>
              <w:jc w:val="left"/>
            </w:pPr>
            <w:r>
              <w:t xml:space="preserve">Content Creation (Local Case Studies &amp; Reports)</w:t>
            </w:r>
          </w:p>
        </w:tc>
        <w:tc>
          <w:tcPr/>
          <w:p>
            <w:pPr>
              <w:pStyle w:val="Compact"/>
              <w:jc w:val="left"/>
            </w:pPr>
            <w:r>
              <w:t xml:space="preserve">$85,000</w:t>
            </w:r>
          </w:p>
        </w:tc>
        <w:tc>
          <w:tcPr/>
          <w:p>
            <w:pPr>
              <w:pStyle w:val="Compact"/>
              <w:jc w:val="left"/>
            </w:pPr>
            <w:r>
              <w:t xml:space="preserve">95% featuring Kuwait City-based clients with anonymized data</w:t>
            </w:r>
          </w:p>
        </w:tc>
      </w:tr>
      <w:tr>
        <w:tc>
          <w:tcPr/>
          <w:p>
            <w:pPr>
              <w:pStyle w:val="Compact"/>
              <w:jc w:val="left"/>
            </w:pPr>
            <w:r>
              <w:t xml:space="preserve">Partnership Development (Chambers, Law Firms)</w:t>
            </w:r>
          </w:p>
        </w:tc>
        <w:tc>
          <w:tcPr/>
          <w:p>
            <w:pPr>
              <w:pStyle w:val="Compact"/>
              <w:jc w:val="left"/>
            </w:pPr>
            <w:r>
              <w:t xml:space="preserve">$80,000</w:t>
            </w:r>
          </w:p>
        </w:tc>
        <w:tc>
          <w:tcPr/>
          <w:p>
            <w:pPr>
              <w:pStyle w:val="Compact"/>
              <w:jc w:val="left"/>
            </w:pPr>
            <w:r>
              <w:t xml:space="preserve">All partners based in Kuwait City headquarters</w:t>
            </w:r>
          </w:p>
        </w:tc>
      </w:tr>
    </w:tbl>
    <w:bookmarkEnd w:id="26"/>
    <w:bookmarkStart w:id="27" w:name="X4bcd97c2f25b8c6084e788d1299e420ad3526f6"/>
    <w:p>
      <w:pPr>
        <w:pStyle w:val="Heading2"/>
      </w:pPr>
      <w:r>
        <w:t xml:space="preserve">Evaluation Framework for Kuwait City Success</w:t>
      </w:r>
    </w:p>
    <w:p>
      <w:pPr>
        <w:pStyle w:val="FirstParagraph"/>
      </w:pPr>
      <w:r>
        <w:t xml:space="preserve">We will measure Marketing Plan success through:</w:t>
      </w:r>
    </w:p>
    <w:p>
      <w:pPr>
        <w:numPr>
          <w:ilvl w:val="0"/>
          <w:numId w:val="1007"/>
        </w:numPr>
        <w:pStyle w:val="Compact"/>
      </w:pPr>
      <w:r>
        <w:t xml:space="preserve">Client Acquisition Cost (CAC) benchmark: Targeting $5,800 per new Kuwait City client vs. industry average of $7,400.</w:t>
      </w:r>
    </w:p>
    <w:p>
      <w:pPr>
        <w:numPr>
          <w:ilvl w:val="0"/>
          <w:numId w:val="1007"/>
        </w:numPr>
        <w:pStyle w:val="Compact"/>
      </w:pPr>
      <w:r>
        <w:t xml:space="preserve">Brand Recall Survey: 65% recognition among Kuwait City businesses by Year 2 (measured via third-party firm).</w:t>
      </w:r>
    </w:p>
    <w:p>
      <w:pPr>
        <w:numPr>
          <w:ilvl w:val="0"/>
          <w:numId w:val="1007"/>
        </w:numPr>
        <w:pStyle w:val="Compact"/>
      </w:pPr>
      <w:r>
        <w:t xml:space="preserve">Regulatory Compliance Score: 98% on-time submission for all Kuwaiti filings – directly tied to our Auditor service quality.</w:t>
      </w:r>
    </w:p>
    <w:bookmarkEnd w:id="27"/>
    <w:bookmarkStart w:id="28" w:name="X77b19f4a3ae35d6b7c55698f08271aa2a4f9f97"/>
    <w:p>
      <w:pPr>
        <w:pStyle w:val="Heading2"/>
      </w:pPr>
      <w:r>
        <w:t xml:space="preserve">Conclusion: The Future of Auditing in Kuwait City</w:t>
      </w:r>
    </w:p>
    <w:p>
      <w:pPr>
        <w:pStyle w:val="FirstParagraph"/>
      </w:pPr>
      <w:r>
        <w:t xml:space="preserve">This Marketing Plan positions our Auditor services as the essential solution for businesses navigating Kuwait’s evolving regulatory environment. By embedding ourselves within the fabric of Kuwait City’s commercial ecosystem – through hyper-localized service delivery, cultural intelligence, and strategic community integration – we will transform from a service provider into a trusted business partner. The success of this plan is not merely measured in revenue, but in becoming synonymous with reliability for every entity seeking an Auditor that understands Kuwait City’s unique economic pulse. As the market evolves toward stricter transparency standards under Vision 2035, our tailored approach ensures that businesses operating from Kuwait City gain a decisive competitive advantage through seamless compliance and strategic financial insight.</w:t>
      </w:r>
    </w:p>
    <w:p>
      <w:pPr>
        <w:pStyle w:val="BodyText"/>
      </w:pPr>
      <w:r>
        <w:rPr>
          <w:bCs/>
          <w:b/>
        </w:rPr>
        <w:t xml:space="preserve">Document Prepared For:</w:t>
      </w:r>
      <w:r>
        <w:t xml:space="preserve"> </w:t>
      </w:r>
      <w:r>
        <w:t xml:space="preserve">Strategic Leadership Team, Kuwait City Operations</w:t>
      </w:r>
    </w:p>
    <w:p>
      <w:pPr>
        <w:pStyle w:val="BodyText"/>
      </w:pP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Kuwait City</dc:title>
  <dc:creator/>
  <dc:language>en</dc:language>
  <cp:keywords/>
  <dcterms:created xsi:type="dcterms:W3CDTF">2025-12-11T13:25:15Z</dcterms:created>
  <dcterms:modified xsi:type="dcterms:W3CDTF">2025-12-11T13:25:15Z</dcterms:modified>
</cp:coreProperties>
</file>

<file path=docProps/custom.xml><?xml version="1.0" encoding="utf-8"?>
<Properties xmlns="http://schemas.openxmlformats.org/officeDocument/2006/custom-properties" xmlns:vt="http://schemas.openxmlformats.org/officeDocument/2006/docPropsVTypes"/>
</file>