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Auditor</w:t>
      </w:r>
      <w:r>
        <w:t xml:space="preserve"> </w:t>
      </w:r>
      <w:r>
        <w:t xml:space="preserve">Services</w:t>
      </w:r>
      <w:r>
        <w:t xml:space="preserve"> </w:t>
      </w:r>
      <w:r>
        <w:t xml:space="preserve">for</w:t>
      </w:r>
      <w:r>
        <w:t xml:space="preserve"> </w:t>
      </w:r>
      <w:r>
        <w:t xml:space="preserve">Malaysia</w:t>
      </w:r>
      <w:r>
        <w:t xml:space="preserve"> </w:t>
      </w:r>
      <w:r>
        <w:t xml:space="preserve">Kuala</w:t>
      </w:r>
      <w:r>
        <w:t xml:space="preserve"> </w:t>
      </w:r>
      <w:r>
        <w:t xml:space="preserve">Lumpur</w:t>
      </w:r>
      <w:r>
        <w:t xml:space="preserve"> </w:t>
      </w:r>
      <w:r>
        <w:t xml:space="preserve">Market</w:t>
      </w:r>
    </w:p>
    <w:bookmarkStart w:id="33" w:name="Xcbed720ac9abaddd6c735e82e13304cee8792de"/>
    <w:p>
      <w:pPr>
        <w:pStyle w:val="Heading1"/>
      </w:pPr>
      <w:r>
        <w:t xml:space="preserve">Marketing Plan for Premium Auditor Services in Malaysia Kuala Lumpur</w:t>
      </w:r>
    </w:p>
    <w:bookmarkStart w:id="20" w:name="executive-summary"/>
    <w:p>
      <w:pPr>
        <w:pStyle w:val="Heading2"/>
      </w:pPr>
      <w:r>
        <w:t xml:space="preserve">Executive Summary</w:t>
      </w:r>
    </w:p>
    <w:p>
      <w:pPr>
        <w:pStyle w:val="FirstParagraph"/>
      </w:pPr>
      <w:r>
        <w:t xml:space="preserve">This comprehensive Marketing Plan outlines a strategic roadmap to position our firm as the premier</w:t>
      </w:r>
      <w:r>
        <w:t xml:space="preserve"> </w:t>
      </w:r>
      <w:r>
        <w:rPr>
          <w:bCs/>
          <w:b/>
        </w:rPr>
        <w:t xml:space="preserve">Auditor</w:t>
      </w:r>
      <w:r>
        <w:t xml:space="preserve"> </w:t>
      </w:r>
      <w:r>
        <w:t xml:space="preserve">provider for businesses across</w:t>
      </w:r>
      <w:r>
        <w:t xml:space="preserve"> </w:t>
      </w:r>
      <w:r>
        <w:rPr>
          <w:bCs/>
          <w:b/>
        </w:rPr>
        <w:t xml:space="preserve">Malaysia Kuala Lumpur</w:t>
      </w:r>
      <w:r>
        <w:t xml:space="preserve">. Targeting the rapidly evolving financial compliance landscape, we will leverage localized expertise, regulatory alignment, and digital innovation to capture market share from 2024–2026. With Kuala Lumpur serving as Malaysia's economic nerve center—home to 83% of the nation's top 500 companies—this plan addresses critical gaps in audit services for SMEs and corporate clients navigating complex tax, MIA (Malaysian Institute of Accountants), and MAS (Monetary Authority of Singapore) regulatory frameworks.</w:t>
      </w:r>
    </w:p>
    <w:bookmarkEnd w:id="20"/>
    <w:bookmarkStart w:id="21" w:name="X5f9e0f116cc0a86bf826456401cc57dbf898830"/>
    <w:p>
      <w:pPr>
        <w:pStyle w:val="Heading2"/>
      </w:pPr>
      <w:r>
        <w:t xml:space="preserve">Market Analysis: Malaysia Kuala Lumpur Context</w:t>
      </w:r>
    </w:p>
    <w:p>
      <w:pPr>
        <w:pStyle w:val="FirstParagraph"/>
      </w:pPr>
      <w:r>
        <w:t xml:space="preserve">Kuala Lumpur's business ecosystem is characterized by explosive SME growth (1.8 million entities in KL, per MDEC 2023), stringent compliance demands under the Companies Act 2016, and a digital transformation push from the government’s National Financial Innovation Strategy. However, 74% of local businesses report inadequate audit support due to:</w:t>
      </w:r>
    </w:p>
    <w:p>
      <w:pPr>
        <w:numPr>
          <w:ilvl w:val="0"/>
          <w:numId w:val="1001"/>
        </w:numPr>
        <w:pStyle w:val="Compact"/>
      </w:pPr>
      <w:r>
        <w:t xml:space="preserve">Lack of bilingual (Malay/English) audit expertise</w:t>
      </w:r>
    </w:p>
    <w:p>
      <w:pPr>
        <w:numPr>
          <w:ilvl w:val="0"/>
          <w:numId w:val="1001"/>
        </w:numPr>
        <w:pStyle w:val="Compact"/>
      </w:pPr>
      <w:r>
        <w:t xml:space="preserve">Outdated manual processes in traditional firms</w:t>
      </w:r>
    </w:p>
    <w:p>
      <w:pPr>
        <w:numPr>
          <w:ilvl w:val="0"/>
          <w:numId w:val="1001"/>
        </w:numPr>
        <w:pStyle w:val="Compact"/>
      </w:pPr>
      <w:r>
        <w:t xml:space="preserve">Insufficient understanding of Malaysia-specific tax incentives (e.g., Pioneer Status, REITs)</w:t>
      </w:r>
    </w:p>
    <w:bookmarkEnd w:id="21"/>
    <w:bookmarkStart w:id="22" w:name="target-audience"/>
    <w:p>
      <w:pPr>
        <w:pStyle w:val="Heading2"/>
      </w:pPr>
      <w:r>
        <w:t xml:space="preserve">Target Audience</w:t>
      </w:r>
    </w:p>
    <w:p>
      <w:pPr>
        <w:pStyle w:val="FirstParagraph"/>
      </w:pPr>
      <w:r>
        <w:t xml:space="preserve">We will prioritize two high-value segments within</w:t>
      </w:r>
      <w:r>
        <w:t xml:space="preserve"> </w:t>
      </w:r>
      <w:r>
        <w:rPr>
          <w:bCs/>
          <w:b/>
        </w:rPr>
        <w:t xml:space="preserve">Malaysia Kuala Lumpur</w:t>
      </w:r>
      <w:r>
        <w:t xml:space="preserve">:</w:t>
      </w:r>
    </w:p>
    <w:p>
      <w:pPr>
        <w:numPr>
          <w:ilvl w:val="0"/>
          <w:numId w:val="1002"/>
        </w:numPr>
        <w:pStyle w:val="Compact"/>
      </w:pPr>
      <w:r>
        <w:rPr>
          <w:bCs/>
          <w:b/>
        </w:rPr>
        <w:t xml:space="preserve">SMEs in Klang Valley Manufacturing/Services (65% of target)</w:t>
      </w:r>
      <w:r>
        <w:t xml:space="preserve">: 3–10 year-old firms needing GST compliance, tax optimization, and MIA-aligned audits to secure bank financing.</w:t>
      </w:r>
    </w:p>
    <w:p>
      <w:pPr>
        <w:numPr>
          <w:ilvl w:val="0"/>
          <w:numId w:val="1002"/>
        </w:numPr>
        <w:pStyle w:val="Compact"/>
      </w:pPr>
      <w:r>
        <w:rPr>
          <w:bCs/>
          <w:b/>
        </w:rPr>
        <w:t xml:space="preserve">Mid-Cap Corporations in KL’s Financial District (35% of target)</w:t>
      </w:r>
      <w:r>
        <w:t xml:space="preserve">: Companies expanding across ASEAN requiring integrated audit-consulting services compliant with MAS Notice 626 and IFRS.</w:t>
      </w:r>
    </w:p>
    <w:bookmarkEnd w:id="22"/>
    <w:bookmarkStart w:id="23" w:name="unique-value-proposition"/>
    <w:p>
      <w:pPr>
        <w:pStyle w:val="Heading2"/>
      </w:pPr>
      <w:r>
        <w:t xml:space="preserve">Unique Value Proposition</w:t>
      </w:r>
    </w:p>
    <w:p>
      <w:pPr>
        <w:pStyle w:val="FirstParagraph"/>
      </w:pPr>
      <w:r>
        <w:t xml:space="preserve">We deliver a</w:t>
      </w:r>
      <w:r>
        <w:t xml:space="preserve"> </w:t>
      </w:r>
      <w:r>
        <w:rPr>
          <w:bCs/>
          <w:b/>
        </w:rPr>
        <w:t xml:space="preserve">Malaysia Kuala Lumpur</w:t>
      </w:r>
      <w:r>
        <w:t xml:space="preserve">-tailored audit experience through three pillars:</w:t>
      </w:r>
    </w:p>
    <w:p>
      <w:pPr>
        <w:numPr>
          <w:ilvl w:val="0"/>
          <w:numId w:val="1003"/>
        </w:numPr>
        <w:pStyle w:val="Compact"/>
      </w:pPr>
      <w:r>
        <w:rPr>
          <w:bCs/>
          <w:b/>
        </w:rPr>
        <w:t xml:space="preserve">Regulatory Precision:</w:t>
      </w:r>
      <w:r>
        <w:t xml:space="preserve"> </w:t>
      </w:r>
      <w:r>
        <w:t xml:space="preserve">Audit teams certified by MIA and trained on the latest MAS directives, ensuring seamless compliance for KL-based firms.</w:t>
      </w:r>
    </w:p>
    <w:p>
      <w:pPr>
        <w:numPr>
          <w:ilvl w:val="0"/>
          <w:numId w:val="1003"/>
        </w:numPr>
        <w:pStyle w:val="Compact"/>
      </w:pPr>
      <w:r>
        <w:rPr>
          <w:bCs/>
          <w:b/>
        </w:rPr>
        <w:t xml:space="preserve">Digital-First Approach:</w:t>
      </w:r>
      <w:r>
        <w:t xml:space="preserve"> </w:t>
      </w:r>
      <w:r>
        <w:t xml:space="preserve">Proprietary AI tool "KL-AuditFlow" auto-generates audit reports compliant with MyTax portal standards, reducing processing time by 50% vs. competitors.</w:t>
      </w:r>
    </w:p>
    <w:p>
      <w:pPr>
        <w:numPr>
          <w:ilvl w:val="0"/>
          <w:numId w:val="1003"/>
        </w:numPr>
        <w:pStyle w:val="Compact"/>
      </w:pPr>
      <w:r>
        <w:rPr>
          <w:bCs/>
          <w:b/>
        </w:rPr>
        <w:t xml:space="preserve">Local Cultural Fluency:</w:t>
      </w:r>
      <w:r>
        <w:t xml:space="preserve"> </w:t>
      </w:r>
      <w:r>
        <w:t xml:space="preserve">Bilingual auditors fluent in Bahasa Malaysia and English, understanding Bumiputera business etiquette and KL corporate culture.</w:t>
      </w:r>
    </w:p>
    <w:bookmarkEnd w:id="23"/>
    <w:bookmarkStart w:id="24" w:name="marketing-objectives-20242026"/>
    <w:p>
      <w:pPr>
        <w:pStyle w:val="Heading2"/>
      </w:pPr>
      <w:r>
        <w:t xml:space="preserve">Marketing Objectives (2024–2026)</w:t>
      </w:r>
    </w:p>
    <w:p>
      <w:pPr>
        <w:pStyle w:val="FirstParagraph"/>
      </w:pPr>
      <w:r>
        <w:t xml:space="preserve">All objectives are quantifiable within the</w:t>
      </w:r>
      <w:r>
        <w:t xml:space="preserve"> </w:t>
      </w:r>
      <w:r>
        <w:rPr>
          <w:bCs/>
          <w:b/>
        </w:rPr>
        <w:t xml:space="preserve">Malaysia Kuala Lumpur</w:t>
      </w:r>
      <w:r>
        <w:t xml:space="preserve"> </w:t>
      </w:r>
      <w:r>
        <w:t xml:space="preserve">market:</w:t>
      </w:r>
    </w:p>
    <w:p>
      <w:pPr>
        <w:numPr>
          <w:ilvl w:val="0"/>
          <w:numId w:val="1004"/>
        </w:numPr>
        <w:pStyle w:val="Compact"/>
      </w:pPr>
      <w:r>
        <w:t xml:space="preserve">Achieve 15% market share among KL-based SME audit providers by 2025 (from current 3%).</w:t>
      </w:r>
    </w:p>
    <w:p>
      <w:pPr>
        <w:numPr>
          <w:ilvl w:val="0"/>
          <w:numId w:val="1004"/>
        </w:numPr>
        <w:pStyle w:val="Compact"/>
      </w:pPr>
      <w:r>
        <w:t xml:space="preserve">Secure 120 new corporate clients in KL’s financial district by Q4 2025.</w:t>
      </w:r>
    </w:p>
    <w:p>
      <w:pPr>
        <w:numPr>
          <w:ilvl w:val="0"/>
          <w:numId w:val="1004"/>
        </w:numPr>
        <w:pStyle w:val="Compact"/>
      </w:pPr>
      <w:r>
        <w:t xml:space="preserve">Attain a Net Promoter Score (NPS) of ≥78 in KL client surveys (vs. industry avg. of 56).</w:t>
      </w:r>
    </w:p>
    <w:bookmarkEnd w:id="24"/>
    <w:bookmarkStart w:id="29" w:name="strategic-initiatives"/>
    <w:p>
      <w:pPr>
        <w:pStyle w:val="Heading2"/>
      </w:pPr>
      <w:r>
        <w:t xml:space="preserve">Strategic Initiatives</w:t>
      </w:r>
    </w:p>
    <w:bookmarkStart w:id="25" w:name="hyper-localized-branding-positioning"/>
    <w:p>
      <w:pPr>
        <w:pStyle w:val="Heading3"/>
      </w:pPr>
      <w:r>
        <w:t xml:space="preserve">1. Hyper-Localized Branding &amp; Positioning</w:t>
      </w:r>
    </w:p>
    <w:p>
      <w:pPr>
        <w:pStyle w:val="FirstParagraph"/>
      </w:pPr>
      <w:r>
        <w:t xml:space="preserve">Rebrand as "KL Audit Partners: Your Trusted Malaysia Auditor." All marketing materials will feature KL landmarks (Petronas Towers, KLCC) and emphasize our 90% local client retention rate. We’ll launch a "Compliance Clinic" series at Petaling Jaya Business Hub, offering free GST/HRDF audit check-ups to generate leads.</w:t>
      </w:r>
    </w:p>
    <w:bookmarkEnd w:id="25"/>
    <w:bookmarkStart w:id="26" w:name="digital-driven-lead-generation"/>
    <w:p>
      <w:pPr>
        <w:pStyle w:val="Heading3"/>
      </w:pPr>
      <w:r>
        <w:t xml:space="preserve">2. Digital-Driven Lead Generation</w:t>
      </w:r>
    </w:p>
    <w:p>
      <w:pPr>
        <w:pStyle w:val="FirstParagraph"/>
      </w:pPr>
      <w:r>
        <w:t xml:space="preserve">Deploy targeted LinkedIn campaigns focused on KL business owners using keywords: "MIA-compliant auditor Malaysia," "KL tax audit specialist." Partner with KL-based platforms like iProperty and JobStreet for sponsored content. Develop a Malaysia-specific audit readiness quiz ("Is Your Business Audit-Ready?") distributed via WhatsApp—critical for KL’s high mobile penetration (97%).</w:t>
      </w:r>
    </w:p>
    <w:bookmarkEnd w:id="26"/>
    <w:bookmarkStart w:id="27" w:name="strategic-community-integration"/>
    <w:p>
      <w:pPr>
        <w:pStyle w:val="Heading3"/>
      </w:pPr>
      <w:r>
        <w:t xml:space="preserve">3. Strategic Community Integration</w:t>
      </w:r>
    </w:p>
    <w:p>
      <w:pPr>
        <w:pStyle w:val="FirstParagraph"/>
      </w:pPr>
      <w:r>
        <w:t xml:space="preserve">Become the "Auditor of Choice" for key KL institutions:</w:t>
      </w:r>
    </w:p>
    <w:p>
      <w:pPr>
        <w:numPr>
          <w:ilvl w:val="0"/>
          <w:numId w:val="1005"/>
        </w:numPr>
        <w:pStyle w:val="Compact"/>
      </w:pPr>
      <w:r>
        <w:t xml:space="preserve">Collaborate with MDEC to co-host "Digital Audit Workshops" for KL SMEs.</w:t>
      </w:r>
    </w:p>
    <w:p>
      <w:pPr>
        <w:numPr>
          <w:ilvl w:val="0"/>
          <w:numId w:val="1005"/>
        </w:numPr>
        <w:pStyle w:val="Compact"/>
      </w:pPr>
      <w:r>
        <w:t xml:space="preserve">Offer discounted audit packages to members of Kuala Lumpur Chamber of Commerce.</w:t>
      </w:r>
    </w:p>
    <w:p>
      <w:pPr>
        <w:numPr>
          <w:ilvl w:val="0"/>
          <w:numId w:val="1005"/>
        </w:numPr>
        <w:pStyle w:val="Compact"/>
      </w:pPr>
      <w:r>
        <w:t xml:space="preserve">Sponsor the Kuala Lumpur International Business Forum (KLIBF), positioning our lead auditor as a speaker on "Post-GST Audit Trends in Malaysia."</w:t>
      </w:r>
    </w:p>
    <w:bookmarkEnd w:id="27"/>
    <w:bookmarkStart w:id="28" w:name="premium-service-differentiation"/>
    <w:p>
      <w:pPr>
        <w:pStyle w:val="Heading3"/>
      </w:pPr>
      <w:r>
        <w:t xml:space="preserve">4. Premium Service Differentiation</w:t>
      </w:r>
    </w:p>
    <w:p>
      <w:pPr>
        <w:pStyle w:val="FirstParagraph"/>
      </w:pPr>
      <w:r>
        <w:t xml:space="preserve">Introduce "Audit Plus" bundles for KL clients:</w:t>
      </w:r>
    </w:p>
    <w:p>
      <w:pPr>
        <w:numPr>
          <w:ilvl w:val="0"/>
          <w:numId w:val="1006"/>
        </w:numPr>
        <w:pStyle w:val="Compact"/>
      </w:pPr>
      <w:r>
        <w:rPr>
          <w:bCs/>
          <w:b/>
        </w:rPr>
        <w:t xml:space="preserve">KL FastTrack:</w:t>
      </w:r>
      <w:r>
        <w:t xml:space="preserve"> </w:t>
      </w:r>
      <w:r>
        <w:t xml:space="preserve">7-day audit completion (vs. industry avg. 21 days).</w:t>
      </w:r>
    </w:p>
    <w:p>
      <w:pPr>
        <w:numPr>
          <w:ilvl w:val="0"/>
          <w:numId w:val="1006"/>
        </w:numPr>
        <w:pStyle w:val="Compact"/>
      </w:pPr>
      <w:r>
        <w:rPr>
          <w:bCs/>
          <w:b/>
        </w:rPr>
        <w:t xml:space="preserve">Bumiputera Growth Package:</w:t>
      </w:r>
      <w:r>
        <w:t xml:space="preserve"> </w:t>
      </w:r>
      <w:r>
        <w:t xml:space="preserve">Customized reports for Bumiputera-owned businesses accessing government grants.</w:t>
      </w:r>
    </w:p>
    <w:p>
      <w:pPr>
        <w:numPr>
          <w:ilvl w:val="0"/>
          <w:numId w:val="1006"/>
        </w:numPr>
        <w:pStyle w:val="Compact"/>
      </w:pPr>
      <w:r>
        <w:rPr>
          <w:bCs/>
          <w:b/>
        </w:rPr>
        <w:t xml:space="preserve">MAS Digital Compliance Add-on:</w:t>
      </w:r>
      <w:r>
        <w:t xml:space="preserve"> </w:t>
      </w:r>
      <w:r>
        <w:t xml:space="preserve">For KL fintech firms, integrating real-time data with MAS portals.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Launch KL Audit Flow AI tool; Secure 3 MDEC partnership milestones.</w:t>
            </w:r>
          </w:p>
        </w:tc>
      </w:tr>
      <w:tr>
        <w:tc>
          <w:tcPr/>
          <w:p>
            <w:pPr>
              <w:pStyle w:val="Compact"/>
              <w:jc w:val="left"/>
            </w:pPr>
            <w:r>
              <w:t xml:space="preserve">Q3 2024</w:t>
            </w:r>
          </w:p>
        </w:tc>
        <w:tc>
          <w:tcPr/>
          <w:p>
            <w:pPr>
              <w:pStyle w:val="Compact"/>
              <w:jc w:val="left"/>
            </w:pPr>
            <w:r>
              <w:t xml:space="preserve">Begin "Compliance Clinics" at KL business hubs; Achieve 25 new SME clients.</w:t>
            </w:r>
          </w:p>
        </w:tc>
      </w:tr>
      <w:tr>
        <w:tc>
          <w:tcPr/>
          <w:p>
            <w:pPr>
              <w:pStyle w:val="Compact"/>
              <w:jc w:val="left"/>
            </w:pPr>
            <w:r>
              <w:t xml:space="preserve">Q1 2025</w:t>
            </w:r>
          </w:p>
        </w:tc>
        <w:tc>
          <w:tcPr/>
          <w:p>
            <w:pPr>
              <w:pStyle w:val="Compact"/>
              <w:jc w:val="left"/>
            </w:pPr>
            <w:r>
              <w:t xml:space="preserve">Leverage KLIBF sponsorship to onboard 40 corporate clients in KL financial district.</w:t>
            </w:r>
          </w:p>
        </w:tc>
      </w:tr>
    </w:tbl>
    <w:bookmarkEnd w:id="30"/>
    <w:bookmarkStart w:id="31" w:name="budget-allocation-kl-focus"/>
    <w:p>
      <w:pPr>
        <w:pStyle w:val="Heading2"/>
      </w:pPr>
      <w:r>
        <w:t xml:space="preserve">Budget Allocation (KL Focus)</w:t>
      </w:r>
    </w:p>
    <w:p>
      <w:pPr>
        <w:pStyle w:val="FirstParagraph"/>
      </w:pPr>
      <w:r>
        <w:t xml:space="preserve">75% of the $350,000 marketing budget is dedicated to Malaysia Kuala Lumpur activities:</w:t>
      </w:r>
    </w:p>
    <w:p>
      <w:pPr>
        <w:numPr>
          <w:ilvl w:val="0"/>
          <w:numId w:val="1007"/>
        </w:numPr>
        <w:pStyle w:val="Compact"/>
      </w:pPr>
      <w:r>
        <w:t xml:space="preserve">45%: Digital campaigns targeting KL business zones (Bukit Bintang, Damansara)</w:t>
      </w:r>
    </w:p>
    <w:p>
      <w:pPr>
        <w:numPr>
          <w:ilvl w:val="0"/>
          <w:numId w:val="1007"/>
        </w:numPr>
        <w:pStyle w:val="Compact"/>
      </w:pPr>
      <w:r>
        <w:t xml:space="preserve">25%: Community partnerships (MDEC, KLCCC)</w:t>
      </w:r>
    </w:p>
    <w:p>
      <w:pPr>
        <w:numPr>
          <w:ilvl w:val="0"/>
          <w:numId w:val="1007"/>
        </w:numPr>
        <w:pStyle w:val="Compact"/>
      </w:pPr>
      <w:r>
        <w:t xml:space="preserve">20%: Content localization (Malay-language audit guides for KL SMEs)</w:t>
      </w:r>
    </w:p>
    <w:p>
      <w:pPr>
        <w:numPr>
          <w:ilvl w:val="0"/>
          <w:numId w:val="1007"/>
        </w:numPr>
        <w:pStyle w:val="Compact"/>
      </w:pPr>
      <w:r>
        <w:t xml:space="preserve">10%: PR at KL industry events</w:t>
      </w:r>
    </w:p>
    <w:bookmarkEnd w:id="31"/>
    <w:bookmarkStart w:id="32" w:name="conclusion"/>
    <w:p>
      <w:pPr>
        <w:pStyle w:val="Heading2"/>
      </w:pPr>
      <w:r>
        <w:t xml:space="preserve">Conclusion</w:t>
      </w:r>
    </w:p>
    <w:p>
      <w:pPr>
        <w:pStyle w:val="FirstParagraph"/>
      </w:pPr>
      <w:r>
        <w:t xml:space="preserve">This Marketing Plan positions our firm as the definitive</w:t>
      </w:r>
      <w:r>
        <w:t xml:space="preserve"> </w:t>
      </w:r>
      <w:r>
        <w:rPr>
          <w:bCs/>
          <w:b/>
        </w:rPr>
        <w:t xml:space="preserve">Auditor</w:t>
      </w:r>
      <w:r>
        <w:t xml:space="preserve"> </w:t>
      </w:r>
      <w:r>
        <w:t xml:space="preserve">for businesses navigating the dynamic financial landscape of</w:t>
      </w:r>
      <w:r>
        <w:t xml:space="preserve"> </w:t>
      </w:r>
      <w:r>
        <w:rPr>
          <w:bCs/>
          <w:b/>
        </w:rPr>
        <w:t xml:space="preserve">Malaysia Kuala Lumpur</w:t>
      </w:r>
      <w:r>
        <w:t xml:space="preserve">. By embedding deep local knowledge—understanding KL’s regulatory nuances, business culture, and growth drivers—we will transform audit from a compliance burden into a strategic advantage. Our focus on speed (via AI), cultural alignment, and community trust directly addresses the unmet needs of 1.8 million KL businesses. As Malaysia accelerates its digital economy goals through initiatives like MyDigital, this plan ensures our</w:t>
      </w:r>
      <w:r>
        <w:t xml:space="preserve"> </w:t>
      </w:r>
      <w:r>
        <w:rPr>
          <w:bCs/>
          <w:b/>
        </w:rPr>
        <w:t xml:space="preserve">Marketing Plan</w:t>
      </w:r>
      <w:r>
        <w:t xml:space="preserve"> </w:t>
      </w:r>
      <w:r>
        <w:t xml:space="preserve">becomes the blueprint for audit excellence in Kuala Lumpur’s market.</w:t>
      </w:r>
    </w:p>
    <w:p>
      <w:pPr>
        <w:pStyle w:val="BodyText"/>
      </w:pPr>
      <w:r>
        <w:rPr>
          <w:iCs/>
          <w:i/>
        </w:rPr>
        <w:t xml:space="preserve">Prepared for: Kuala Lumpur Audit Partners | Date: October 26, 2023 | Word Count: 848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Auditor Services for Malaysia Kuala Lumpur Market</dc:title>
  <dc:creator/>
  <dc:language>en</dc:language>
  <cp:keywords/>
  <dcterms:created xsi:type="dcterms:W3CDTF">2026-07-21T14:10:38Z</dcterms:created>
  <dcterms:modified xsi:type="dcterms:W3CDTF">2026-07-21T14:10:38Z</dcterms:modified>
</cp:coreProperties>
</file>

<file path=docProps/custom.xml><?xml version="1.0" encoding="utf-8"?>
<Properties xmlns="http://schemas.openxmlformats.org/officeDocument/2006/custom-properties" xmlns:vt="http://schemas.openxmlformats.org/officeDocument/2006/docPropsVTypes"/>
</file>