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9ced93db1917e96f1ded5beff261c0f4dc93158"/>
    <w:p>
      <w:pPr>
        <w:pStyle w:val="Heading1"/>
      </w:pPr>
      <w:r>
        <w:t xml:space="preserve">Comprehensive Marketing Plan for Premium Auditor Services in Peru Lima</w:t>
      </w:r>
    </w:p>
    <w:bookmarkStart w:id="20" w:name="executive-summary"/>
    <w:p>
      <w:pPr>
        <w:pStyle w:val="Heading2"/>
      </w:pPr>
      <w:r>
        <w:t xml:space="preserve">Executive Summary</w:t>
      </w:r>
    </w:p>
    <w:p>
      <w:pPr>
        <w:pStyle w:val="FirstParagraph"/>
      </w:pPr>
      <w:r>
        <w:t xml:space="preserve">This Marketing Plan outlines a strategic roadmap to establish and grow a leading independent auditor practice within the dynamic business landscape of Peru Lima. As economic activity intensifies in Peru's capital, businesses face increasingly complex regulatory demands from Sunat (National Tax Administration) and international standards. Our specialized Auditor services will address critical gaps in financial compliance, risk management, and transparency for both local enterprises and multinational operations headquartered in Lima. The plan targets a 25% market share among SMEs requiring statutory audits within Lima by Year 3, positioning our firm as the premier choice for reliable, culturally attuned audit solutions.</w:t>
      </w:r>
    </w:p>
    <w:bookmarkEnd w:id="20"/>
    <w:bookmarkStart w:id="21" w:name="market-analysis-peru-lima-context"/>
    <w:p>
      <w:pPr>
        <w:pStyle w:val="Heading2"/>
      </w:pPr>
      <w:r>
        <w:t xml:space="preserve">Market Analysis: Peru Lima Context</w:t>
      </w:r>
    </w:p>
    <w:p>
      <w:pPr>
        <w:pStyle w:val="FirstParagraph"/>
      </w:pPr>
      <w:r>
        <w:t xml:space="preserve">Peru's economy is experiencing robust growth (4.5% GDP expansion in 2023), with Lima accounting for over 40% of national economic output and hosting 68% of Peru's Fortune 500 subsidiaries. This concentration creates high demand for professional Auditor services, driven by:</w:t>
      </w:r>
    </w:p>
    <w:p>
      <w:pPr>
        <w:numPr>
          <w:ilvl w:val="0"/>
          <w:numId w:val="1001"/>
        </w:numPr>
        <w:pStyle w:val="Compact"/>
      </w:pPr>
      <w:r>
        <w:rPr>
          <w:bCs/>
          <w:b/>
        </w:rPr>
        <w:t xml:space="preserve">Regulatory Pressure:</w:t>
      </w:r>
      <w:r>
        <w:t xml:space="preserve"> </w:t>
      </w:r>
      <w:r>
        <w:t xml:space="preserve">Sunat's digitalization mandates require meticulous financial documentation, increasing audit necessity.</w:t>
      </w:r>
    </w:p>
    <w:p>
      <w:pPr>
        <w:numPr>
          <w:ilvl w:val="0"/>
          <w:numId w:val="1001"/>
        </w:numPr>
        <w:pStyle w:val="Compact"/>
      </w:pPr>
      <w:r>
        <w:rPr>
          <w:bCs/>
          <w:b/>
        </w:rPr>
        <w:t xml:space="preserve">Investor Confidence:</w:t>
      </w:r>
      <w:r>
        <w:t xml:space="preserve"> </w:t>
      </w:r>
      <w:r>
        <w:t xml:space="preserve">Foreign direct investment in Lima surged 18% in 2023, demanding credible audit reports for capital raising.</w:t>
      </w:r>
    </w:p>
    <w:p>
      <w:pPr>
        <w:numPr>
          <w:ilvl w:val="0"/>
          <w:numId w:val="1001"/>
        </w:numPr>
        <w:pStyle w:val="Compact"/>
      </w:pPr>
      <w:r>
        <w:rPr>
          <w:bCs/>
          <w:b/>
        </w:rPr>
        <w:t xml:space="preserve">SME Growth:</w:t>
      </w:r>
      <w:r>
        <w:t xml:space="preserve"> </w:t>
      </w:r>
      <w:r>
        <w:t xml:space="preserve">Lima's vibrant SME sector (4.5M businesses) often lacks internal compliance expertise, creating a $280M annual market for outsourced audits.</w:t>
      </w:r>
    </w:p>
    <w:p>
      <w:pPr>
        <w:pStyle w:val="FirstParagraph"/>
      </w:pPr>
      <w:r>
        <w:t xml:space="preserve">Competitor analysis reveals gaps: Major international firms focus on large corporations but lack localized cultural nuance, while local players struggle with technological adoption. Our unique value proposition bridges this divide through Peru-focused expertise combined with global audit standards.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Peru Lima:</w:t>
      </w:r>
    </w:p>
    <w:p>
      <w:pPr>
        <w:numPr>
          <w:ilvl w:val="0"/>
          <w:numId w:val="1002"/>
        </w:numPr>
        <w:pStyle w:val="Compact"/>
      </w:pPr>
      <w:r>
        <w:rPr>
          <w:bCs/>
          <w:b/>
        </w:rPr>
        <w:t xml:space="preserve">Mid-Market Manufacturing &amp; Retail (35% of target):</w:t>
      </w:r>
      <w:r>
        <w:t xml:space="preserve"> </w:t>
      </w:r>
      <w:r>
        <w:t xml:space="preserve">Lima-based companies expanding operations requiring statutory audits for loan compliance and tax efficiency. Example: Beverage manufacturers navigating Sunat's new digital invoicing rules.</w:t>
      </w:r>
    </w:p>
    <w:p>
      <w:pPr>
        <w:numPr>
          <w:ilvl w:val="0"/>
          <w:numId w:val="1002"/>
        </w:numPr>
        <w:pStyle w:val="Compact"/>
      </w:pPr>
      <w:r>
        <w:rPr>
          <w:bCs/>
          <w:b/>
        </w:rPr>
        <w:t xml:space="preserve">Foreign-Owned Entities (40% of target):</w:t>
      </w:r>
      <w:r>
        <w:t xml:space="preserve"> </w:t>
      </w:r>
      <w:r>
        <w:t xml:space="preserve">Multinationals with Lima HQ needing dual-compliance (Peruvian GAAP + IFRS). Particularly urgent for firms entering Peru's mining/energy sectors.</w:t>
      </w:r>
    </w:p>
    <w:p>
      <w:pPr>
        <w:numPr>
          <w:ilvl w:val="0"/>
          <w:numId w:val="1002"/>
        </w:numPr>
        <w:pStyle w:val="Compact"/>
      </w:pPr>
      <w:r>
        <w:rPr>
          <w:bCs/>
          <w:b/>
        </w:rPr>
        <w:t xml:space="preserve">High-Growth Startups (25% of target):</w:t>
      </w:r>
      <w:r>
        <w:t xml:space="preserve"> </w:t>
      </w:r>
      <w:r>
        <w:t xml:space="preserve">Tech and fintech ventures in Lima's Innovation District requiring investor-ready audits before funding rounds.</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Year 1:</w:t>
      </w:r>
      <w:r>
        <w:t xml:space="preserve"> </w:t>
      </w:r>
      <w:r>
        <w:t xml:space="preserve">Acquire 150 new clients in Lima, achieving $450K revenue from audit services.</w:t>
      </w:r>
    </w:p>
    <w:p>
      <w:pPr>
        <w:numPr>
          <w:ilvl w:val="0"/>
          <w:numId w:val="1003"/>
        </w:numPr>
        <w:pStyle w:val="Compact"/>
      </w:pPr>
      <w:r>
        <w:rPr>
          <w:bCs/>
          <w:b/>
        </w:rPr>
        <w:t xml:space="preserve">Year 2:</w:t>
      </w:r>
      <w:r>
        <w:t xml:space="preserve"> </w:t>
      </w:r>
      <w:r>
        <w:t xml:space="preserve">Secure contracts with 8+ multinational subsidiaries based in Peru Lima.</w:t>
      </w:r>
    </w:p>
    <w:p>
      <w:pPr>
        <w:numPr>
          <w:ilvl w:val="0"/>
          <w:numId w:val="1003"/>
        </w:numPr>
        <w:pStyle w:val="Compact"/>
      </w:pPr>
      <w:r>
        <w:rPr>
          <w:bCs/>
          <w:b/>
        </w:rPr>
        <w:t xml:space="preserve">Year 3:</w:t>
      </w:r>
      <w:r>
        <w:t xml:space="preserve"> </w:t>
      </w:r>
      <w:r>
        <w:t xml:space="preserve">Attain industry recognition as "Top Auditor Firm in Peru Lima" (based on client satisfaction surveys).</w:t>
      </w:r>
    </w:p>
    <w:bookmarkEnd w:id="23"/>
    <w:bookmarkStart w:id="27" w:name="core-marketing-strategies"/>
    <w:p>
      <w:pPr>
        <w:pStyle w:val="Heading2"/>
      </w:pPr>
      <w:r>
        <w:t xml:space="preserve">Core Marketing Strategies</w:t>
      </w:r>
    </w:p>
    <w:bookmarkStart w:id="24" w:name="Xfcbac8c770c9b0d04e534d956bb35e901fff4f9"/>
    <w:p>
      <w:pPr>
        <w:pStyle w:val="Heading3"/>
      </w:pPr>
      <w:r>
        <w:t xml:space="preserve">Product Differentiation: The Lima-First Audit Approach</w:t>
      </w:r>
    </w:p>
    <w:p>
      <w:pPr>
        <w:pStyle w:val="FirstParagraph"/>
      </w:pPr>
      <w:r>
        <w:t xml:space="preserve">We develop a tailored methodology called the "Peru Lima Audit Framework," integrating:</w:t>
      </w:r>
    </w:p>
    <w:p>
      <w:pPr>
        <w:numPr>
          <w:ilvl w:val="0"/>
          <w:numId w:val="1004"/>
        </w:numPr>
        <w:pStyle w:val="Compact"/>
      </w:pPr>
      <w:r>
        <w:rPr>
          <w:bCs/>
          <w:b/>
        </w:rPr>
        <w:t xml:space="preserve">Cultural Intelligence:</w:t>
      </w:r>
      <w:r>
        <w:t xml:space="preserve"> </w:t>
      </w:r>
      <w:r>
        <w:t xml:space="preserve">Localized team with deep understanding of Lima business customs (e.g., relationship dynamics in negotiations).</w:t>
      </w:r>
    </w:p>
    <w:p>
      <w:pPr>
        <w:numPr>
          <w:ilvl w:val="0"/>
          <w:numId w:val="1004"/>
        </w:numPr>
        <w:pStyle w:val="Compact"/>
      </w:pPr>
      <w:r>
        <w:rPr>
          <w:bCs/>
          <w:b/>
        </w:rPr>
        <w:t xml:space="preserve">Regulatory Precision:</w:t>
      </w:r>
      <w:r>
        <w:t xml:space="preserve"> </w:t>
      </w:r>
      <w:r>
        <w:t xml:space="preserve">Real-time Sunat compliance tracking through our proprietary "Sunat Alert" dashboard.</w:t>
      </w:r>
    </w:p>
    <w:p>
      <w:pPr>
        <w:numPr>
          <w:ilvl w:val="0"/>
          <w:numId w:val="1004"/>
        </w:numPr>
        <w:pStyle w:val="Compact"/>
      </w:pPr>
      <w:r>
        <w:rPr>
          <w:bCs/>
          <w:b/>
        </w:rPr>
        <w:t xml:space="preserve">Technology Integration:</w:t>
      </w:r>
      <w:r>
        <w:t xml:space="preserve"> </w:t>
      </w:r>
      <w:r>
        <w:t xml:space="preserve">AI-powered anomaly detection for Lima-specific fraud patterns (e.g., currency exchange risks in export businesses).</w:t>
      </w:r>
    </w:p>
    <w:bookmarkEnd w:id="24"/>
    <w:bookmarkStart w:id="25" w:name="pricing-value-proposition"/>
    <w:p>
      <w:pPr>
        <w:pStyle w:val="Heading3"/>
      </w:pPr>
      <w:r>
        <w:t xml:space="preserve">Pricing &amp; Value Proposition</w:t>
      </w:r>
    </w:p>
    <w:p>
      <w:pPr>
        <w:pStyle w:val="FirstParagraph"/>
      </w:pPr>
      <w:r>
        <w:t xml:space="preserve">Our tiered pricing balances accessibility and premium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Lima SME Package</w:t>
            </w:r>
          </w:p>
        </w:tc>
        <w:tc>
          <w:tcPr/>
          <w:p>
            <w:pPr>
              <w:pStyle w:val="Compact"/>
              <w:jc w:val="left"/>
            </w:pPr>
            <w:r>
              <w:t xml:space="preserve">Multinational Package</w:t>
            </w:r>
          </w:p>
        </w:tc>
      </w:tr>
      <w:tr>
        <w:tc>
          <w:tcPr/>
          <w:p>
            <w:pPr>
              <w:pStyle w:val="Compact"/>
              <w:jc w:val="left"/>
            </w:pPr>
            <w:r>
              <w:t xml:space="preserve">Price Range</w:t>
            </w:r>
          </w:p>
        </w:tc>
        <w:tc>
          <w:tcPr/>
          <w:p>
            <w:pPr>
              <w:pStyle w:val="Compact"/>
              <w:jc w:val="left"/>
            </w:pPr>
            <w:r>
              <w:t xml:space="preserve">$2,500–$7,500/year</w:t>
            </w:r>
          </w:p>
        </w:tc>
        <w:tc>
          <w:tcPr/>
          <w:p>
            <w:pPr>
              <w:pStyle w:val="Compact"/>
              <w:jc w:val="left"/>
            </w:pPr>
            <w:r>
              <w:t xml:space="preserve">$15,000–$45,000/year</w:t>
            </w:r>
          </w:p>
        </w:tc>
      </w:tr>
      <w:tr>
        <w:tc>
          <w:tcPr/>
          <w:p>
            <w:pPr>
              <w:pStyle w:val="Compact"/>
              <w:jc w:val="left"/>
            </w:pPr>
            <w:r>
              <w:t xml:space="preserve">Inclusions</w:t>
            </w:r>
          </w:p>
        </w:tc>
        <w:tc>
          <w:tcPr/>
          <w:p>
            <w:pPr>
              <w:pStyle w:val="Compact"/>
              <w:jc w:val="left"/>
            </w:pPr>
            <w:r>
              <w:t xml:space="preserve">Statutory audit + Sunat compliance guide + quarterly tax review</w:t>
            </w:r>
          </w:p>
        </w:tc>
        <w:tc>
          <w:tcPr/>
          <w:p>
            <w:pPr>
              <w:pStyle w:val="Compact"/>
              <w:jc w:val="left"/>
            </w:pPr>
            <w:r>
              <w:t xml:space="preserve">All SME services + IFRS conversion support + investor report formatting</w:t>
            </w:r>
          </w:p>
        </w:tc>
      </w:tr>
      <w:tr>
        <w:tc>
          <w:tcPr/>
          <w:p>
            <w:pPr>
              <w:pStyle w:val="Compact"/>
              <w:jc w:val="left"/>
            </w:pPr>
            <w:r>
              <w:t xml:space="preserve">Unique Value Add</w:t>
            </w:r>
          </w:p>
        </w:tc>
        <w:tc>
          <w:tcPr/>
          <w:p>
            <w:pPr>
              <w:pStyle w:val="Compact"/>
              <w:jc w:val="left"/>
            </w:pPr>
            <w:r>
              <w:t xml:space="preserve">Free Lima business permit renewal assistance</w:t>
            </w:r>
          </w:p>
        </w:tc>
        <w:tc>
          <w:tcPr/>
          <w:p>
            <w:pPr>
              <w:pStyle w:val="Compact"/>
              <w:jc w:val="left"/>
            </w:pPr>
            <w:r>
              <w:t xml:space="preserve">Customized Peru risk assessment report</w:t>
            </w:r>
          </w:p>
        </w:tc>
      </w:tr>
    </w:tbl>
    <w:bookmarkEnd w:id="25"/>
    <w:bookmarkStart w:id="26" w:name="Xc2c9f6010426b4354dee83860d6cc4861f0ee2d"/>
    <w:p>
      <w:pPr>
        <w:pStyle w:val="Heading3"/>
      </w:pPr>
      <w:r>
        <w:t xml:space="preserve">Distribution &amp; Promotion Tactics (Lima-Focused)</w:t>
      </w:r>
    </w:p>
    <w:p>
      <w:pPr>
        <w:numPr>
          <w:ilvl w:val="0"/>
          <w:numId w:val="1005"/>
        </w:numPr>
        <w:pStyle w:val="Compact"/>
      </w:pPr>
      <w:r>
        <w:rPr>
          <w:bCs/>
          <w:b/>
        </w:rPr>
        <w:t xml:space="preserve">Niche Digital Campaigns:</w:t>
      </w:r>
      <w:r>
        <w:t xml:space="preserve"> </w:t>
      </w:r>
      <w:r>
        <w:t xml:space="preserve">Targeted LinkedIn ads for Lima business leaders using keywords like "auditor in Peru Lima" and "Sunat audit help." Content includes case studies of Lima-based clients saving 30% in tax penalties.</w:t>
      </w:r>
    </w:p>
    <w:p>
      <w:pPr>
        <w:numPr>
          <w:ilvl w:val="0"/>
          <w:numId w:val="1005"/>
        </w:numPr>
        <w:pStyle w:val="Compact"/>
      </w:pPr>
      <w:r>
        <w:rPr>
          <w:bCs/>
          <w:b/>
        </w:rPr>
        <w:t xml:space="preserve">Lima Industry Partnerships:</w:t>
      </w:r>
      <w:r>
        <w:t xml:space="preserve"> </w:t>
      </w:r>
      <w:r>
        <w:t xml:space="preserve">Strategic alliances with Asociación de Industrias del Perú (AIP) and Centro de Emprendimiento de Lima for co-hosted workshops on "Audit Essentials for Peruvian Businesses."</w:t>
      </w:r>
    </w:p>
    <w:p>
      <w:pPr>
        <w:numPr>
          <w:ilvl w:val="0"/>
          <w:numId w:val="1005"/>
        </w:numPr>
        <w:pStyle w:val="Compact"/>
      </w:pPr>
      <w:r>
        <w:rPr>
          <w:bCs/>
          <w:b/>
        </w:rPr>
        <w:t xml:space="preserve">Localized Events:</w:t>
      </w:r>
      <w:r>
        <w:t xml:space="preserve"> </w:t>
      </w:r>
      <w:r>
        <w:t xml:space="preserve">Quarterly "Lima Audit Roundtables" at the Hotel Ritz (downtown Lima), featuring Sunat officials discussing regulatory updates, positioning us as the go-to Auditor authority.</w:t>
      </w:r>
    </w:p>
    <w:p>
      <w:pPr>
        <w:numPr>
          <w:ilvl w:val="0"/>
          <w:numId w:val="1005"/>
        </w:numPr>
        <w:pStyle w:val="Compact"/>
      </w:pPr>
      <w:r>
        <w:rPr>
          <w:bCs/>
          <w:b/>
        </w:rPr>
        <w:t xml:space="preserve">Referral Engine:</w:t>
      </w:r>
      <w:r>
        <w:t xml:space="preserve"> </w:t>
      </w:r>
      <w:r>
        <w:t xml:space="preserve">15% commission for client referrals within Lima's business associations (e.g., Cámara de Comercio de Lima).</w:t>
      </w:r>
    </w:p>
    <w:bookmarkEnd w:id="26"/>
    <w:bookmarkEnd w:id="27"/>
    <w:bookmarkStart w:id="28" w:name="budget-allocation-peru-lima-focus"/>
    <w:p>
      <w:pPr>
        <w:pStyle w:val="Heading2"/>
      </w:pPr>
      <w:r>
        <w:t xml:space="preserve">Budget Allocation: Peru Lima Focus</w:t>
      </w:r>
    </w:p>
    <w:p>
      <w:pPr>
        <w:pStyle w:val="FirstParagraph"/>
      </w:pPr>
      <w:r>
        <w:t xml:space="preserve">Total Year 1 Marketing Budget: $145,000 (65% allocated to digital + events in Lima):</w:t>
      </w:r>
    </w:p>
    <w:p>
      <w:pPr>
        <w:numPr>
          <w:ilvl w:val="0"/>
          <w:numId w:val="1006"/>
        </w:numPr>
        <w:pStyle w:val="Compact"/>
      </w:pPr>
      <w:r>
        <w:t xml:space="preserve">Content &amp; Digital Ads (38%): $55,100 – Targeted campaigns reaching Lima business networks.</w:t>
      </w:r>
    </w:p>
    <w:p>
      <w:pPr>
        <w:numPr>
          <w:ilvl w:val="0"/>
          <w:numId w:val="1006"/>
        </w:numPr>
        <w:pStyle w:val="Compact"/>
      </w:pPr>
      <w:r>
        <w:t xml:space="preserve">Event Sponsorships (27%): $39,150 – Participation in key Lima trade shows like Financiera Lima.</w:t>
      </w:r>
    </w:p>
    <w:p>
      <w:pPr>
        <w:numPr>
          <w:ilvl w:val="0"/>
          <w:numId w:val="1006"/>
        </w:numPr>
        <w:pStyle w:val="Compact"/>
      </w:pPr>
      <w:r>
        <w:t xml:space="preserve">Partnership Development (22%): $31,900 – Co-marketing with Lima business chambers.</w:t>
      </w:r>
    </w:p>
    <w:p>
      <w:pPr>
        <w:numPr>
          <w:ilvl w:val="0"/>
          <w:numId w:val="1006"/>
        </w:numPr>
        <w:pStyle w:val="Compact"/>
      </w:pPr>
      <w:r>
        <w:t xml:space="preserve">Materials &amp; Local PR (13%): $18,850 – Bilingual (Spanish/English) collateral for Peru Lima clients.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Lima market research; launch digital campaigns; secure AIP partnership.</w:t>
            </w:r>
          </w:p>
        </w:tc>
      </w:tr>
      <w:tr>
        <w:tc>
          <w:tcPr/>
          <w:p>
            <w:pPr>
              <w:pStyle w:val="Compact"/>
              <w:jc w:val="left"/>
            </w:pPr>
            <w:r>
              <w:t xml:space="preserve">Q3 2024</w:t>
            </w:r>
          </w:p>
        </w:tc>
        <w:tc>
          <w:tcPr/>
          <w:p>
            <w:pPr>
              <w:pStyle w:val="Compact"/>
              <w:jc w:val="left"/>
            </w:pPr>
            <w:r>
              <w:t xml:space="preserve">Host first Lima Audit Roundtable; deploy Sunat Alert dashboard prototype.</w:t>
            </w:r>
          </w:p>
        </w:tc>
      </w:tr>
      <w:tr>
        <w:tc>
          <w:tcPr/>
          <w:p>
            <w:pPr>
              <w:pStyle w:val="Compact"/>
              <w:jc w:val="left"/>
            </w:pPr>
            <w:r>
              <w:t xml:space="preserve">Q1 2025</w:t>
            </w:r>
          </w:p>
        </w:tc>
        <w:tc>
          <w:tcPr/>
          <w:p>
            <w:pPr>
              <w:pStyle w:val="Compact"/>
              <w:jc w:val="left"/>
            </w:pPr>
            <w:r>
              <w:t xml:space="preserve">Secure first multinational client (Lima HQ); launch referral program.</w:t>
            </w:r>
          </w:p>
        </w:tc>
      </w:tr>
      <w:tr>
        <w:tc>
          <w:tcPr/>
          <w:p>
            <w:pPr>
              <w:pStyle w:val="Compact"/>
              <w:jc w:val="left"/>
            </w:pPr>
            <w:r>
              <w:t xml:space="preserve">Q4 2025</w:t>
            </w:r>
          </w:p>
        </w:tc>
        <w:tc>
          <w:tcPr/>
          <w:p>
            <w:pPr>
              <w:pStyle w:val="Compact"/>
              <w:jc w:val="left"/>
            </w:pPr>
            <w:r>
              <w:t xml:space="preserve">Aim for 10% market penetration in Lima SME audit segment.</w:t>
            </w:r>
          </w:p>
        </w:tc>
      </w:tr>
    </w:tbl>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7"/>
        </w:numPr>
        <w:pStyle w:val="Compact"/>
      </w:pPr>
      <w:r>
        <w:rPr>
          <w:bCs/>
          <w:b/>
        </w:rPr>
        <w:t xml:space="preserve">Market Share Tracking:</w:t>
      </w:r>
      <w:r>
        <w:t xml:space="preserve"> </w:t>
      </w:r>
      <w:r>
        <w:t xml:space="preserve">Quarterly analysis of Lima audit service demand via Sunat business registry data.</w:t>
      </w:r>
    </w:p>
    <w:p>
      <w:pPr>
        <w:numPr>
          <w:ilvl w:val="0"/>
          <w:numId w:val="1007"/>
        </w:numPr>
        <w:pStyle w:val="Compact"/>
      </w:pPr>
      <w:r>
        <w:rPr>
          <w:bCs/>
          <w:b/>
        </w:rPr>
        <w:t xml:space="preserve">Client Acquisition Cost (CAC):</w:t>
      </w:r>
      <w:r>
        <w:t xml:space="preserve"> </w:t>
      </w:r>
      <w:r>
        <w:t xml:space="preserve">Target CAC below $1,200 in Peru Lima (industry average: $1,850).</w:t>
      </w:r>
    </w:p>
    <w:p>
      <w:pPr>
        <w:numPr>
          <w:ilvl w:val="0"/>
          <w:numId w:val="1007"/>
        </w:numPr>
        <w:pStyle w:val="Compact"/>
      </w:pPr>
      <w:r>
        <w:rPr>
          <w:bCs/>
          <w:b/>
        </w:rPr>
        <w:t xml:space="preserve">NPS &amp; Retention:</w:t>
      </w:r>
      <w:r>
        <w:t xml:space="preserve"> </w:t>
      </w:r>
      <w:r>
        <w:t xml:space="preserve">Quarterly client surveys measuring "Likelihood to Recommend" in Lima context.</w:t>
      </w:r>
    </w:p>
    <w:p>
      <w:pPr>
        <w:numPr>
          <w:ilvl w:val="0"/>
          <w:numId w:val="1007"/>
        </w:numPr>
        <w:pStyle w:val="Compact"/>
      </w:pPr>
      <w:r>
        <w:rPr>
          <w:bCs/>
          <w:b/>
        </w:rPr>
        <w:t xml:space="preserve">Regulatory Impact:</w:t>
      </w:r>
      <w:r>
        <w:t xml:space="preserve"> </w:t>
      </w:r>
      <w:r>
        <w:t xml:space="preserve">Reduction in client Sunat penalties post-audit (tracked via client reports).</w:t>
      </w:r>
    </w:p>
    <w:bookmarkEnd w:id="30"/>
    <w:bookmarkStart w:id="31" w:name="X857e1a0a944423bfb5d23436d2d09533b960728"/>
    <w:p>
      <w:pPr>
        <w:pStyle w:val="Heading2"/>
      </w:pPr>
      <w:r>
        <w:t xml:space="preserve">Conclusion: Why This Marketing Plan Wins in Peru Lima</w:t>
      </w:r>
    </w:p>
    <w:p>
      <w:pPr>
        <w:pStyle w:val="FirstParagraph"/>
      </w:pPr>
      <w:r>
        <w:t xml:space="preserve">This Marketing Plan transcends generic service promotion by embedding our Auditor practice within the economic heartbeat of Peru Lima. We leverage hyper-local insights—understanding how Sunat processes impact a Lima-based bakery versus a multinational mining subsidiary—to deliver unmatched value. By focusing relentlessly on the city where 90% of Peru's corporate decision-making occurs, we avoid dilution and build authority through tangible results: faster compliance, lower tax risks, and stronger investor trust. As businesses in Peru Lima navigate complex growth trajectories, our tailored Auditor services become not just a necessity but a strategic advantage—making this Marketing Plan the definitive roadmap to leadership in the region's most critical professional service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Peru Lima</dc:title>
  <dc:creator/>
  <dc:language>en</dc:language>
  <cp:keywords/>
  <dcterms:created xsi:type="dcterms:W3CDTF">2026-07-17T15:58:00Z</dcterms:created>
  <dcterms:modified xsi:type="dcterms:W3CDTF">2026-07-17T15:58:00Z</dcterms:modified>
</cp:coreProperties>
</file>

<file path=docProps/custom.xml><?xml version="1.0" encoding="utf-8"?>
<Properties xmlns="http://schemas.openxmlformats.org/officeDocument/2006/custom-properties" xmlns:vt="http://schemas.openxmlformats.org/officeDocument/2006/docPropsVTypes"/>
</file>