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Auditor</w:t>
      </w:r>
      <w:r>
        <w:t xml:space="preserve"> </w:t>
      </w:r>
      <w:r>
        <w:t xml:space="preserve">Services</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8" w:name="Xbeccb3110b47fdceebd3bc8238af654ec2f530f"/>
    <w:p>
      <w:pPr>
        <w:pStyle w:val="Heading1"/>
      </w:pPr>
      <w:r>
        <w:t xml:space="preserve">Comprehensive Marketing Plan for Premium Auditor Services in Abu Dhabi, United Arab Emirates</w:t>
      </w:r>
    </w:p>
    <w:bookmarkStart w:id="20" w:name="X298958774dffc4d1d6d670fec9f2d6dde551d6c"/>
    <w:p>
      <w:pPr>
        <w:pStyle w:val="Heading2"/>
      </w:pPr>
      <w:r>
        <w:t xml:space="preserve">Executive Summary: Establishing Leadership in UAE Auditing Excellence</w:t>
      </w:r>
    </w:p>
    <w:p>
      <w:pPr>
        <w:pStyle w:val="FirstParagraph"/>
      </w:pPr>
      <w:r>
        <w:t xml:space="preserve">This Marketing Plan outlines a strategic roadmap for positioning our firm as the premier</w:t>
      </w:r>
      <w:r>
        <w:t xml:space="preserve"> </w:t>
      </w:r>
      <w:r>
        <w:rPr>
          <w:bCs/>
          <w:b/>
        </w:rPr>
        <w:t xml:space="preserve">Auditor</w:t>
      </w:r>
      <w:r>
        <w:t xml:space="preserve"> </w:t>
      </w:r>
      <w:r>
        <w:t xml:space="preserve">partner for businesses operating across the United Arab Emirates, with initial focus on Abu Dhabi. The plan leverages Abu Dhabi’s dynamic economic landscape, stringent regulatory environment under ADGM (Abu Dhabi Global Market) and DIFC (Dubai International Financial Centre), and the growing demand for transparent financial governance. As a specialized</w:t>
      </w:r>
      <w:r>
        <w:t xml:space="preserve"> </w:t>
      </w:r>
      <w:r>
        <w:rPr>
          <w:bCs/>
          <w:b/>
        </w:rPr>
        <w:t xml:space="preserve">Auditor</w:t>
      </w:r>
      <w:r>
        <w:t xml:space="preserve">, we will deliver unmatched compliance assurance, risk mitigation, and strategic insights tailored to the unique requirements of enterprises within the United Arab Emirates Abu Dhabi jurisdiction. Our mission is to be synonymous with integrity, regulatory mastery, and business growth acceleration for clients navigating Abu Dhabi’s sophisticated market.</w:t>
      </w:r>
    </w:p>
    <w:bookmarkEnd w:id="20"/>
    <w:bookmarkStart w:id="21" w:name="Xe1acf24c3345b02c824f3ee6366400cfd75a432"/>
    <w:p>
      <w:pPr>
        <w:pStyle w:val="Heading2"/>
      </w:pPr>
      <w:r>
        <w:t xml:space="preserve">Market Analysis: Opportunities in Abu Dhabi's Regulatory Ecosystem</w:t>
      </w:r>
    </w:p>
    <w:p>
      <w:pPr>
        <w:pStyle w:val="FirstParagraph"/>
      </w:pPr>
      <w:r>
        <w:t xml:space="preserve">The United Arab Emirates, particularly Abu Dhabi, presents a high-potential market driven by:</w:t>
      </w:r>
    </w:p>
    <w:p>
      <w:pPr>
        <w:numPr>
          <w:ilvl w:val="0"/>
          <w:numId w:val="1001"/>
        </w:numPr>
        <w:pStyle w:val="Compact"/>
      </w:pPr>
      <w:r>
        <w:rPr>
          <w:bCs/>
          <w:b/>
        </w:rPr>
        <w:t xml:space="preserve">Regulatory Sophistication:</w:t>
      </w:r>
      <w:r>
        <w:t xml:space="preserve"> </w:t>
      </w:r>
      <w:r>
        <w:t xml:space="preserve">Strict adherence to Federal Law No. 2 of 2015 (Commercial Companies Law), ADGM regulations, and Central Bank of UAE directives necessitates expert auditing. Non-compliance risks severe penalties.</w:t>
      </w:r>
    </w:p>
    <w:p>
      <w:pPr>
        <w:numPr>
          <w:ilvl w:val="0"/>
          <w:numId w:val="1001"/>
        </w:numPr>
        <w:pStyle w:val="Compact"/>
      </w:pPr>
      <w:r>
        <w:rPr>
          <w:bCs/>
          <w:b/>
        </w:rPr>
        <w:t xml:space="preserve">Economic Diversification:</w:t>
      </w:r>
      <w:r>
        <w:t xml:space="preserve"> </w:t>
      </w:r>
      <w:r>
        <w:t xml:space="preserve">Abu Dhabi’s Vision 2030 drives massive growth in sectors like renewable energy, tourism (e.g., Yas Island), fintech (ADGM hub), and healthcare, all requiring robust financial oversight.</w:t>
      </w:r>
    </w:p>
    <w:p>
      <w:pPr>
        <w:numPr>
          <w:ilvl w:val="0"/>
          <w:numId w:val="1001"/>
        </w:numPr>
        <w:pStyle w:val="Compact"/>
      </w:pPr>
      <w:r>
        <w:rPr>
          <w:bCs/>
          <w:b/>
        </w:rPr>
        <w:t xml:space="preserve">Increasing Demand:</w:t>
      </w:r>
      <w:r>
        <w:t xml:space="preserve"> </w:t>
      </w:r>
      <w:r>
        <w:t xml:space="preserve">UAE corporate filings show a 22% YoY surge in audit mandates for entities registered under ADGM. Multinational HQs and Emirati family businesses prioritize local, culturally attuned auditors.</w:t>
      </w:r>
    </w:p>
    <w:p>
      <w:pPr>
        <w:numPr>
          <w:ilvl w:val="0"/>
          <w:numId w:val="1001"/>
        </w:numPr>
        <w:pStyle w:val="Compact"/>
      </w:pPr>
      <w:r>
        <w:rPr>
          <w:bCs/>
          <w:b/>
        </w:rPr>
        <w:t xml:space="preserve">Cultural Nuance:</w:t>
      </w:r>
      <w:r>
        <w:t xml:space="preserve"> </w:t>
      </w:r>
      <w:r>
        <w:t xml:space="preserve">Emirati clients value relationship-building, Arabic-speaking expertise (available on our team), and understanding of local business customs ("wasta" context managed ethically).</w:t>
      </w:r>
    </w:p>
    <w:p>
      <w:pPr>
        <w:pStyle w:val="FirstParagraph"/>
      </w:pPr>
      <w:r>
        <w:t xml:space="preserve">Competitors lack deep Abu Dhabi-specific regulatory fluency. Our differentiator is embedding ADGM/DIFC compliance knowledge into every audit protocol.</w:t>
      </w:r>
    </w:p>
    <w:bookmarkEnd w:id="21"/>
    <w:bookmarkStart w:id="22" w:name="X18c74dbcad8f0111e7501c677d817ada7d020e1"/>
    <w:p>
      <w:pPr>
        <w:pStyle w:val="Heading2"/>
      </w:pPr>
      <w:r>
        <w:t xml:space="preserve">Target Audience in United Arab Emirates Abu Dhabi</w:t>
      </w:r>
    </w:p>
    <w:p>
      <w:pPr>
        <w:pStyle w:val="FirstParagraph"/>
      </w:pPr>
      <w:r>
        <w:t xml:space="preserve">We will focus on:</w:t>
      </w:r>
    </w:p>
    <w:p>
      <w:pPr>
        <w:numPr>
          <w:ilvl w:val="0"/>
          <w:numId w:val="1002"/>
        </w:numPr>
        <w:pStyle w:val="Compact"/>
      </w:pPr>
      <w:r>
        <w:rPr>
          <w:bCs/>
          <w:b/>
        </w:rPr>
        <w:t xml:space="preserve">ADGM-Registered Entities:</w:t>
      </w:r>
      <w:r>
        <w:t xml:space="preserve"> </w:t>
      </w:r>
      <w:r>
        <w:t xml:space="preserve">Fintechs, asset managers, and international firms requiring DIFC/ADGM compliance.</w:t>
      </w:r>
    </w:p>
    <w:p>
      <w:pPr>
        <w:numPr>
          <w:ilvl w:val="0"/>
          <w:numId w:val="1002"/>
        </w:numPr>
        <w:pStyle w:val="Compact"/>
      </w:pPr>
      <w:r>
        <w:rPr>
          <w:bCs/>
          <w:b/>
        </w:rPr>
        <w:t xml:space="preserve">Abu Dhabi Department of Economic Development (DED) Licensed Businesses:</w:t>
      </w:r>
      <w:r>
        <w:t xml:space="preserve"> </w:t>
      </w:r>
      <w:r>
        <w:t xml:space="preserve">SMEs expanding under Abu Dhabi's new commercial licensing frameworks.</w:t>
      </w:r>
    </w:p>
    <w:p>
      <w:pPr>
        <w:numPr>
          <w:ilvl w:val="0"/>
          <w:numId w:val="1002"/>
        </w:numPr>
        <w:pStyle w:val="Compact"/>
      </w:pPr>
      <w:r>
        <w:rPr>
          <w:bCs/>
          <w:b/>
        </w:rPr>
        <w:t xml:space="preserve">Multinational Regional HQs:</w:t>
      </w:r>
      <w:r>
        <w:t xml:space="preserve"> </w:t>
      </w:r>
      <w:r>
        <w:t xml:space="preserve">Companies headquartered in Abu Dhabi seeking local audit partners for MENA operations.</w:t>
      </w:r>
    </w:p>
    <w:p>
      <w:pPr>
        <w:numPr>
          <w:ilvl w:val="0"/>
          <w:numId w:val="1002"/>
        </w:numPr>
        <w:pStyle w:val="Compact"/>
      </w:pPr>
      <w:r>
        <w:rPr>
          <w:bCs/>
          <w:b/>
        </w:rPr>
        <w:t xml:space="preserve">Government-Linked Entities (GLEs):</w:t>
      </w:r>
      <w:r>
        <w:t xml:space="preserve"> </w:t>
      </w:r>
      <w:r>
        <w:t xml:space="preserve">State-owned enterprises needing auditors certified for UAE public sector standards.</w:t>
      </w:r>
    </w:p>
    <w:bookmarkEnd w:id="22"/>
    <w:bookmarkStart w:id="23" w:name="Xed720fa6b78ccf5fadabe70009b3db3a7f20e3e"/>
    <w:p>
      <w:pPr>
        <w:pStyle w:val="Heading2"/>
      </w:pPr>
      <w:r>
        <w:t xml:space="preserve">Service Positioning &amp; Unique Value Proposition</w:t>
      </w:r>
    </w:p>
    <w:p>
      <w:pPr>
        <w:pStyle w:val="FirstParagraph"/>
      </w:pPr>
      <w:r>
        <w:t xml:space="preserve">As the leading</w:t>
      </w:r>
      <w:r>
        <w:t xml:space="preserve"> </w:t>
      </w:r>
      <w:r>
        <w:rPr>
          <w:bCs/>
          <w:b/>
        </w:rPr>
        <w:t xml:space="preserve">Auditor</w:t>
      </w:r>
      <w:r>
        <w:t xml:space="preserve"> </w:t>
      </w:r>
      <w:r>
        <w:t xml:space="preserve">in Abu Dhabi, we offer:</w:t>
      </w:r>
    </w:p>
    <w:p>
      <w:pPr>
        <w:numPr>
          <w:ilvl w:val="0"/>
          <w:numId w:val="1003"/>
        </w:numPr>
        <w:pStyle w:val="Compact"/>
      </w:pPr>
      <w:r>
        <w:rPr>
          <w:bCs/>
          <w:b/>
        </w:rPr>
        <w:t xml:space="preserve">Certified ADGM/DIFC Expertise:</w:t>
      </w:r>
      <w:r>
        <w:t xml:space="preserve"> </w:t>
      </w:r>
      <w:r>
        <w:t xml:space="preserve">All auditors are certified under ADGM’s Auditor Registration Framework and UAE Ministry of Economy guidelines.</w:t>
      </w:r>
    </w:p>
    <w:p>
      <w:pPr>
        <w:numPr>
          <w:ilvl w:val="0"/>
          <w:numId w:val="1003"/>
        </w:numPr>
        <w:pStyle w:val="Compact"/>
      </w:pPr>
      <w:r>
        <w:rPr>
          <w:bCs/>
          <w:b/>
        </w:rPr>
        <w:t xml:space="preserve">Integrated Risk Advisory:</w:t>
      </w:r>
      <w:r>
        <w:t xml:space="preserve"> </w:t>
      </w:r>
      <w:r>
        <w:t xml:space="preserve">Beyond statutory audit, we deliver actionable insights on UAE regulatory risks (e.g., VAT compliance, foreign ownership rules).</w:t>
      </w:r>
    </w:p>
    <w:p>
      <w:pPr>
        <w:numPr>
          <w:ilvl w:val="0"/>
          <w:numId w:val="1003"/>
        </w:numPr>
        <w:pStyle w:val="Compact"/>
      </w:pPr>
      <w:r>
        <w:rPr>
          <w:bCs/>
          <w:b/>
        </w:rPr>
        <w:t xml:space="preserve">Cultural Intelligence:</w:t>
      </w:r>
      <w:r>
        <w:t xml:space="preserve"> </w:t>
      </w:r>
      <w:r>
        <w:t xml:space="preserve">Dedicated Emirati client managers and on-ground teams fluent in local business practices.</w:t>
      </w:r>
    </w:p>
    <w:p>
      <w:pPr>
        <w:pStyle w:val="FirstParagraph"/>
      </w:pPr>
      <w:r>
        <w:t xml:space="preserve">Our value isn’t just compliance—it’s enabling clients to confidently pursue growth within the United Arab Emirates Abu Dhabi market.</w:t>
      </w:r>
    </w:p>
    <w:bookmarkEnd w:id="23"/>
    <w:bookmarkStart w:id="24" w:name="marketing-sales-strategy-for-abu-dhabi"/>
    <w:p>
      <w:pPr>
        <w:pStyle w:val="Heading2"/>
      </w:pPr>
      <w:r>
        <w:t xml:space="preserve">Marketing &amp; Sales Strategy for Abu Dhabi</w:t>
      </w:r>
    </w:p>
    <w:p>
      <w:pPr>
        <w:pStyle w:val="FirstParagraph"/>
      </w:pPr>
      <w:r>
        <w:rPr>
          <w:bCs/>
          <w:b/>
        </w:rPr>
        <w:t xml:space="preserve">Tactical Implementation:</w:t>
      </w:r>
    </w:p>
    <w:p>
      <w:pPr>
        <w:numPr>
          <w:ilvl w:val="0"/>
          <w:numId w:val="1004"/>
        </w:numPr>
        <w:pStyle w:val="Compact"/>
      </w:pPr>
      <w:r>
        <w:rPr>
          <w:iCs/>
          <w:i/>
        </w:rPr>
        <w:t xml:space="preserve">Strategic Partnerships:</w:t>
      </w:r>
      <w:r>
        <w:t xml:space="preserve"> </w:t>
      </w:r>
      <w:r>
        <w:t xml:space="preserve">Forge alliances with ADGM, DIFC, and Abu Dhabi Chamber of Commerce for co-hosted workshops on "Regulatory Compliance in 2024."</w:t>
      </w:r>
    </w:p>
    <w:p>
      <w:pPr>
        <w:numPr>
          <w:ilvl w:val="0"/>
          <w:numId w:val="1004"/>
        </w:numPr>
        <w:pStyle w:val="Compact"/>
      </w:pPr>
      <w:r>
        <w:rPr>
          <w:iCs/>
          <w:i/>
        </w:rPr>
        <w:t xml:space="preserve">Digital Engagement:</w:t>
      </w:r>
      <w:r>
        <w:t xml:space="preserve"> </w:t>
      </w:r>
      <w:r>
        <w:t xml:space="preserve">Launch a UAE-specific landing page targeting keywords like "auditor in Abu Dhabi," "ADGM compliance auditor," with Arabic language toggle. Target LinkedIn ads to DED-registered business owners.</w:t>
      </w:r>
    </w:p>
    <w:p>
      <w:pPr>
        <w:numPr>
          <w:ilvl w:val="0"/>
          <w:numId w:val="1004"/>
        </w:numPr>
        <w:pStyle w:val="Compact"/>
      </w:pPr>
      <w:r>
        <w:rPr>
          <w:iCs/>
          <w:i/>
        </w:rPr>
        <w:t xml:space="preserve">Thought Leadership:</w:t>
      </w:r>
      <w:r>
        <w:t xml:space="preserve"> </w:t>
      </w:r>
      <w:r>
        <w:t xml:space="preserve">Publish quarterly reports on UAE audit trends (e.g., "ESG Integration under Abu Dhabi’s New Sustainability Regulations") through Abu Dhabi Media Network partnerships.</w:t>
      </w:r>
    </w:p>
    <w:p>
      <w:pPr>
        <w:numPr>
          <w:ilvl w:val="0"/>
          <w:numId w:val="1004"/>
        </w:numPr>
        <w:pStyle w:val="Compact"/>
      </w:pPr>
      <w:r>
        <w:rPr>
          <w:iCs/>
          <w:i/>
        </w:rPr>
        <w:t xml:space="preserve">Relationship Building:</w:t>
      </w:r>
      <w:r>
        <w:t xml:space="preserve"> </w:t>
      </w:r>
      <w:r>
        <w:t xml:space="preserve">Host exclusive networking events at Yas Waterworld and Al Qasimya Park, focusing on post-Ramadan business planning for Emirati entrepreneurs.</w:t>
      </w:r>
    </w:p>
    <w:bookmarkEnd w:id="24"/>
    <w:bookmarkStart w:id="25" w:name="pricing-value-communication"/>
    <w:p>
      <w:pPr>
        <w:pStyle w:val="Heading2"/>
      </w:pPr>
      <w:r>
        <w:t xml:space="preserve">Pricing &amp; Value Communication</w:t>
      </w:r>
    </w:p>
    <w:p>
      <w:pPr>
        <w:pStyle w:val="FirstParagraph"/>
      </w:pPr>
      <w:r>
        <w:t xml:space="preserve">We adopt a tiered pricing model reflecting Abu Dhabi’s premium market:</w:t>
      </w:r>
    </w:p>
    <w:p>
      <w:pPr>
        <w:numPr>
          <w:ilvl w:val="0"/>
          <w:numId w:val="1005"/>
        </w:numPr>
        <w:pStyle w:val="Compact"/>
      </w:pPr>
      <w:r>
        <w:rPr>
          <w:bCs/>
          <w:b/>
        </w:rPr>
        <w:t xml:space="preserve">Standard Compliance Audit:</w:t>
      </w:r>
      <w:r>
        <w:t xml:space="preserve"> </w:t>
      </w:r>
      <w:r>
        <w:t xml:space="preserve">AED 45,000 (covers statutory audit + basic ADGM reporting).</w:t>
      </w:r>
    </w:p>
    <w:p>
      <w:pPr>
        <w:numPr>
          <w:ilvl w:val="0"/>
          <w:numId w:val="1005"/>
        </w:numPr>
        <w:pStyle w:val="Compact"/>
      </w:pPr>
      <w:r>
        <w:rPr>
          <w:bCs/>
          <w:b/>
        </w:rPr>
        <w:t xml:space="preserve">Strategic Governance Package:</w:t>
      </w:r>
      <w:r>
        <w:t xml:space="preserve"> </w:t>
      </w:r>
      <w:r>
        <w:t xml:space="preserve">AED 85,000 (includes risk advisory, ESG integration support, and Arabic-speaking team access).</w:t>
      </w:r>
    </w:p>
    <w:p>
      <w:pPr>
        <w:pStyle w:val="FirstParagraph"/>
      </w:pPr>
      <w:r>
        <w:t xml:space="preserve">Emphasis is placed on ROI: "Avoiding a single regulatory fine can save 3x our audit fee." Payment terms align with Abu Dhabi’s corporate norms—50% upfront, 50% upon report delivery.</w:t>
      </w:r>
    </w:p>
    <w:bookmarkEnd w:id="25"/>
    <w:bookmarkStart w:id="26" w:name="performance-metrics-timeline"/>
    <w:p>
      <w:pPr>
        <w:pStyle w:val="Heading2"/>
      </w:pPr>
      <w:r>
        <w:t xml:space="preserve">Performance Metrics &amp; Timeline</w:t>
      </w:r>
    </w:p>
    <w:p>
      <w:pPr>
        <w:pStyle w:val="FirstParagraph"/>
      </w:pPr>
      <w:r>
        <w:t xml:space="preserve">Key Success Indicators for our Marketing Plan:</w:t>
      </w:r>
    </w:p>
    <w:p>
      <w:pPr>
        <w:numPr>
          <w:ilvl w:val="0"/>
          <w:numId w:val="1006"/>
        </w:numPr>
        <w:pStyle w:val="Compact"/>
      </w:pPr>
      <w:r>
        <w:rPr>
          <w:bCs/>
          <w:b/>
        </w:rPr>
        <w:t xml:space="preserve">Short-Term (6 months):</w:t>
      </w:r>
      <w:r>
        <w:t xml:space="preserve"> </w:t>
      </w:r>
      <w:r>
        <w:t xml:space="preserve">Acquire 15 new clients in Abu Dhabi (8 ADGM, 7 DED-licensed businesses); achieve 40% brand recognition among target SMEs via local surveys.</w:t>
      </w:r>
    </w:p>
    <w:p>
      <w:pPr>
        <w:numPr>
          <w:ilvl w:val="0"/>
          <w:numId w:val="1006"/>
        </w:numPr>
        <w:pStyle w:val="Compact"/>
      </w:pPr>
      <w:r>
        <w:rPr>
          <w:bCs/>
          <w:b/>
        </w:rPr>
        <w:t xml:space="preserve">Mid-Term (12 months):</w:t>
      </w:r>
      <w:r>
        <w:t xml:space="preserve"> </w:t>
      </w:r>
      <w:r>
        <w:t xml:space="preserve">Secure 3 government-linked entity contracts; become top-rated auditor on Abu Dhabi Chamber of Commerce’s recommended list.</w:t>
      </w:r>
    </w:p>
    <w:p>
      <w:pPr>
        <w:numPr>
          <w:ilvl w:val="0"/>
          <w:numId w:val="1006"/>
        </w:numPr>
        <w:pStyle w:val="Compact"/>
      </w:pPr>
      <w:r>
        <w:rPr>
          <w:bCs/>
          <w:b/>
        </w:rPr>
        <w:t xml:space="preserve">Long-Term (24 months):</w:t>
      </w:r>
      <w:r>
        <w:t xml:space="preserve"> </w:t>
      </w:r>
      <w:r>
        <w:t xml:space="preserve">Capture 15% market share in ADGM-compliant audits within the United Arab Emirates, establishing us as the go-to</w:t>
      </w:r>
      <w:r>
        <w:t xml:space="preserve"> </w:t>
      </w:r>
      <w:r>
        <w:rPr>
          <w:bCs/>
          <w:b/>
        </w:rPr>
        <w:t xml:space="preserve">Auditor</w:t>
      </w:r>
      <w:r>
        <w:t xml:space="preserve"> </w:t>
      </w:r>
      <w:r>
        <w:t xml:space="preserve">for strategic financial governance in Abu Dhabi.</w:t>
      </w:r>
    </w:p>
    <w:bookmarkEnd w:id="26"/>
    <w:bookmarkStart w:id="27" w:name="Xe81d87c9a46a97db171eb55bd54f42c1386c889"/>
    <w:p>
      <w:pPr>
        <w:pStyle w:val="Heading2"/>
      </w:pPr>
      <w:r>
        <w:t xml:space="preserve">Conclusion: Driving UAE Market Confidence Through Audit Excellence</w:t>
      </w:r>
    </w:p>
    <w:p>
      <w:pPr>
        <w:pStyle w:val="FirstParagraph"/>
      </w:pPr>
      <w:r>
        <w:t xml:space="preserve">This Marketing Plan is not merely about selling audit services—it’s about becoming an indispensable partner in Abu Dhabi’s economic journey. By embedding deep knowledge of United Arab Emirates regulatory frameworks, cultural intelligence, and a commitment to transparency, we position our firm as the definitive</w:t>
      </w:r>
      <w:r>
        <w:t xml:space="preserve"> </w:t>
      </w:r>
      <w:r>
        <w:rPr>
          <w:bCs/>
          <w:b/>
        </w:rPr>
        <w:t xml:space="preserve">Auditor</w:t>
      </w:r>
      <w:r>
        <w:t xml:space="preserve"> </w:t>
      </w:r>
      <w:r>
        <w:t xml:space="preserve">for enterprises committed to sustainable success in Abu Dhabi. Our strategy directly addresses the urgent need for compliant, insightful financial oversight across Abu Dhabi’s evolving business landscape. With this plan executed rigorously, we will not just enter the market—we will define it.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Auditor Services in Abu Dhabi, United Arab Emirates</dc:title>
  <dc:creator/>
  <dc:language>en</dc:language>
  <cp:keywords/>
  <dcterms:created xsi:type="dcterms:W3CDTF">2026-07-23T18:19:07Z</dcterms:created>
  <dcterms:modified xsi:type="dcterms:W3CDTF">2026-07-23T18:19:07Z</dcterms:modified>
</cp:coreProperties>
</file>

<file path=docProps/custom.xml><?xml version="1.0" encoding="utf-8"?>
<Properties xmlns="http://schemas.openxmlformats.org/officeDocument/2006/custom-properties" xmlns:vt="http://schemas.openxmlformats.org/officeDocument/2006/docPropsVTypes"/>
</file>