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2e236c7f603a01af14d1b7b5ebc80a8660f800f"/>
    <w:p>
      <w:pPr>
        <w:pStyle w:val="Heading1"/>
      </w:pPr>
      <w:r>
        <w:t xml:space="preserve">Comprehensive Marketing Plan for Premium Auditor Services in United Arab Emirates Dubai</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premium auditor services within the dynamic business landscape of Dubai, United Arab Emirates. As the UAE's financial hub continues to attract global investment, our specialized auditing solutions position us to become the preferred partner for compliance, risk management, and financial transparency. With Dubai's economy projected to grow at 3.9% annually (World Bank 2023), we present a focused strategy to capture significant market share by addressing critical regulatory needs in the UAE's evolving fiscal environment.</w:t>
      </w:r>
    </w:p>
    <w:bookmarkEnd w:id="20"/>
    <w:bookmarkStart w:id="21" w:name="X8c67522f46a3ea523adc9e0a783970381437a4f"/>
    <w:p>
      <w:pPr>
        <w:pStyle w:val="Heading2"/>
      </w:pPr>
      <w:r>
        <w:t xml:space="preserve">Situation Analysis: Dubai's Auditor Market Landscape</w:t>
      </w:r>
    </w:p>
    <w:p>
      <w:pPr>
        <w:pStyle w:val="FirstParagraph"/>
      </w:pPr>
      <w:r>
        <w:t xml:space="preserve">United Arab Emirates Dubai presents a unique opportunity for auditor services due to its status as a global business gateway. The city hosts over 50,000 active commercial entities across free zones (DIFC, DMCC, ADGM) and mainland operations. Key regulatory drivers include: UAE Corporate Tax (9% effective 2023), VAT compliance, Abu Dhabi Commercial Bank reporting standards, and mandatory annual audits for all businesses. Competitors like PwC Dubai and EY UAE dominate with global infrastructure but lack localized cultural understanding of Emirati business practices.</w:t>
      </w:r>
    </w:p>
    <w:p>
      <w:pPr>
        <w:pStyle w:val="BodyText"/>
      </w:pPr>
      <w:r>
        <w:t xml:space="preserve">Our analysis reveals a significant market gap: 68% of SMEs in Dubai struggle with UAE-specific compliance complexity (Dubai Chamber of Commerce 2023). This creates an urgent need for auditors who understand local regulations like MOHRE labor laws, DIFC's Financial Services Regulatory Authority (FSRA) frameworks, and Abu Dhabi's Economic Vision 2030. We position our auditor services as the bridge between international standards and UAE operational realities.</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Dubai:</w:t>
      </w:r>
    </w:p>
    <w:p>
      <w:pPr>
        <w:numPr>
          <w:ilvl w:val="0"/>
          <w:numId w:val="1001"/>
        </w:numPr>
        <w:pStyle w:val="Compact"/>
      </w:pPr>
      <w:r>
        <w:rPr>
          <w:bCs/>
          <w:b/>
        </w:rPr>
        <w:t xml:space="preserve">SMEs in Free Zones (45% of target):</w:t>
      </w:r>
      <w:r>
        <w:t xml:space="preserve"> </w:t>
      </w:r>
      <w:r>
        <w:t xml:space="preserve">Businesses registered in DIFC/DMCC requiring cost-effective UAE-compliant audits for visa renewals and bank financing.</w:t>
      </w:r>
    </w:p>
    <w:p>
      <w:pPr>
        <w:numPr>
          <w:ilvl w:val="0"/>
          <w:numId w:val="1001"/>
        </w:numPr>
        <w:pStyle w:val="Compact"/>
      </w:pPr>
      <w:r>
        <w:rPr>
          <w:bCs/>
          <w:b/>
        </w:rPr>
        <w:t xml:space="preserve">Multinational Corporations (30%):</w:t>
      </w:r>
      <w:r>
        <w:t xml:space="preserve"> </w:t>
      </w:r>
      <w:r>
        <w:t xml:space="preserve">Global entities needing consolidated reports aligned with both international standards (IFRS) and UAE tax authorities.</w:t>
      </w:r>
    </w:p>
    <w:p>
      <w:pPr>
        <w:numPr>
          <w:ilvl w:val="0"/>
          <w:numId w:val="1001"/>
        </w:numPr>
        <w:pStyle w:val="Compact"/>
      </w:pPr>
      <w:r>
        <w:rPr>
          <w:bCs/>
          <w:b/>
        </w:rPr>
        <w:t xml:space="preserve">Startup Accelerators &amp; Venture Capital Firms (25%):</w:t>
      </w:r>
      <w:r>
        <w:t xml:space="preserve"> </w:t>
      </w:r>
      <w:r>
        <w:t xml:space="preserve">Dubai-based investment groups requiring due diligence audits for portfolio companies to meet Dubai International Financial Centre (DIFC) listing requirements.</w:t>
      </w:r>
    </w:p>
    <w:bookmarkEnd w:id="22"/>
    <w:bookmarkStart w:id="23" w:name="marketing-objectives"/>
    <w:p>
      <w:pPr>
        <w:pStyle w:val="Heading2"/>
      </w:pPr>
      <w:r>
        <w:t xml:space="preserve">Marketing Objectives</w:t>
      </w:r>
    </w:p>
    <w:p>
      <w:pPr>
        <w:pStyle w:val="FirstParagraph"/>
      </w:pPr>
      <w:r>
        <w:t xml:space="preserve">We establish measurable KPIs aligned with UAE market dynamics:</w:t>
      </w:r>
    </w:p>
    <w:p>
      <w:pPr>
        <w:numPr>
          <w:ilvl w:val="0"/>
          <w:numId w:val="1002"/>
        </w:numPr>
        <w:pStyle w:val="Compact"/>
      </w:pPr>
      <w:r>
        <w:rPr>
          <w:bCs/>
          <w:b/>
        </w:rPr>
        <w:t xml:space="preserve">Market Penetration:</w:t>
      </w:r>
      <w:r>
        <w:t xml:space="preserve"> </w:t>
      </w:r>
      <w:r>
        <w:t xml:space="preserve">Achieve 15% market share among Dubai SMEs within 24 months through targeted outreach in business parks (Dubai Silicon Oasis, Dubai International Airport Free Zone).</w:t>
      </w:r>
    </w:p>
    <w:p>
      <w:pPr>
        <w:numPr>
          <w:ilvl w:val="0"/>
          <w:numId w:val="1002"/>
        </w:numPr>
        <w:pStyle w:val="Compact"/>
      </w:pPr>
      <w:r>
        <w:rPr>
          <w:bCs/>
          <w:b/>
        </w:rPr>
        <w:t xml:space="preserve">Brand Positioning:</w:t>
      </w:r>
      <w:r>
        <w:t xml:space="preserve"> </w:t>
      </w:r>
      <w:r>
        <w:t xml:space="preserve">Become the #1 UAE-regional auditor recognized for "UAE Regulatory Expertise" through DIFC and DMCC endorsements by Year 3.</w:t>
      </w:r>
    </w:p>
    <w:p>
      <w:pPr>
        <w:numPr>
          <w:ilvl w:val="0"/>
          <w:numId w:val="1002"/>
        </w:numPr>
        <w:pStyle w:val="Compact"/>
      </w:pPr>
      <w:r>
        <w:rPr>
          <w:bCs/>
          <w:b/>
        </w:rPr>
        <w:t xml:space="preserve">Client Acquisition:</w:t>
      </w:r>
      <w:r>
        <w:t xml:space="preserve"> </w:t>
      </w:r>
      <w:r>
        <w:t xml:space="preserve">Secure 200+ new audit clients in Dubai within the first year, with 75% from referral networks.</w:t>
      </w:r>
    </w:p>
    <w:bookmarkEnd w:id="23"/>
    <w:bookmarkStart w:id="27" w:name="strategic-marketing-framework"/>
    <w:p>
      <w:pPr>
        <w:pStyle w:val="Heading2"/>
      </w:pPr>
      <w:r>
        <w:t xml:space="preserve">Strategic Marketing Framework</w:t>
      </w:r>
    </w:p>
    <w:bookmarkStart w:id="24" w:name="digital-first-localization-strategy"/>
    <w:p>
      <w:pPr>
        <w:pStyle w:val="Heading3"/>
      </w:pPr>
      <w:r>
        <w:t xml:space="preserve">Digital-First Localization Strategy</w:t>
      </w:r>
    </w:p>
    <w:p>
      <w:pPr>
        <w:pStyle w:val="FirstParagraph"/>
      </w:pPr>
      <w:r>
        <w:t xml:space="preserve">We deploy a culturally nuanced digital strategy addressing UAE-specific needs:</w:t>
      </w:r>
    </w:p>
    <w:p>
      <w:pPr>
        <w:numPr>
          <w:ilvl w:val="0"/>
          <w:numId w:val="1003"/>
        </w:numPr>
        <w:pStyle w:val="Compact"/>
      </w:pPr>
      <w:r>
        <w:rPr>
          <w:bCs/>
          <w:b/>
        </w:rPr>
        <w:t xml:space="preserve">Arabic-English Bilingual Content:</w:t>
      </w:r>
      <w:r>
        <w:t xml:space="preserve"> </w:t>
      </w:r>
      <w:r>
        <w:t xml:space="preserve">All marketing materials and audit reports delivered in both languages, with Dubai-specific examples (e.g., "VAT Compliance for Restaurant Businesses in Al Quoz").</w:t>
      </w:r>
    </w:p>
    <w:p>
      <w:pPr>
        <w:numPr>
          <w:ilvl w:val="0"/>
          <w:numId w:val="1003"/>
        </w:numPr>
        <w:pStyle w:val="Compact"/>
      </w:pPr>
      <w:r>
        <w:rPr>
          <w:bCs/>
          <w:b/>
        </w:rPr>
        <w:t xml:space="preserve">Dubai-Focused SEO:</w:t>
      </w:r>
      <w:r>
        <w:t xml:space="preserve"> </w:t>
      </w:r>
      <w:r>
        <w:t xml:space="preserve">Target keywords like "UAE corporate tax audit Dubai," "DIFC compliance auditor," and "DMCC financial reporting." Partner with UAE web platforms like Property Finder for targeted advertising.</w:t>
      </w:r>
    </w:p>
    <w:p>
      <w:pPr>
        <w:numPr>
          <w:ilvl w:val="0"/>
          <w:numId w:val="1003"/>
        </w:numPr>
        <w:pStyle w:val="Compact"/>
      </w:pPr>
      <w:r>
        <w:rPr>
          <w:bCs/>
          <w:b/>
        </w:rPr>
        <w:t xml:space="preserve">LinkedIn Thought Leadership:</w:t>
      </w:r>
      <w:r>
        <w:t xml:space="preserve"> </w:t>
      </w:r>
      <w:r>
        <w:t xml:space="preserve">Publish monthly insights on UAE regulatory updates (e.g., "Impact of 2024 Corporate Tax Changes on Dubai SMEs") featuring our lead auditor's analysis.</w:t>
      </w:r>
    </w:p>
    <w:bookmarkEnd w:id="24"/>
    <w:bookmarkStart w:id="25" w:name="strategic-partnership-ecosystem"/>
    <w:p>
      <w:pPr>
        <w:pStyle w:val="Heading3"/>
      </w:pPr>
      <w:r>
        <w:t xml:space="preserve">Strategic Partnership Ecosystem</w:t>
      </w:r>
    </w:p>
    <w:p>
      <w:pPr>
        <w:pStyle w:val="FirstParagraph"/>
      </w:pPr>
      <w:r>
        <w:t xml:space="preserve">Critical partnerships will accelerate market entry in Dubai:</w:t>
      </w:r>
    </w:p>
    <w:p>
      <w:pPr>
        <w:numPr>
          <w:ilvl w:val="0"/>
          <w:numId w:val="1004"/>
        </w:numPr>
        <w:pStyle w:val="Compact"/>
      </w:pPr>
      <w:r>
        <w:rPr>
          <w:bCs/>
          <w:b/>
        </w:rPr>
        <w:t xml:space="preserve">Dubai Chamber of Commerce Collaborations:</w:t>
      </w:r>
      <w:r>
        <w:t xml:space="preserve"> </w:t>
      </w:r>
      <w:r>
        <w:t xml:space="preserve">Co-host quarterly "UAE Compliance Workshops" at Dubai World Trade Centre with government regulators.</w:t>
      </w:r>
    </w:p>
    <w:p>
      <w:pPr>
        <w:numPr>
          <w:ilvl w:val="0"/>
          <w:numId w:val="1004"/>
        </w:numPr>
        <w:pStyle w:val="Compact"/>
      </w:pPr>
      <w:r>
        <w:rPr>
          <w:bCs/>
          <w:b/>
        </w:rPr>
        <w:t xml:space="preserve">Free Zone Authority Alliances:</w:t>
      </w:r>
      <w:r>
        <w:t xml:space="preserve"> </w:t>
      </w:r>
      <w:r>
        <w:t xml:space="preserve">Become an approved auditor for DIFC and DMCC through formal certification agreements, gaining direct client access via zone portals.</w:t>
      </w:r>
    </w:p>
    <w:p>
      <w:pPr>
        <w:numPr>
          <w:ilvl w:val="0"/>
          <w:numId w:val="1004"/>
        </w:numPr>
        <w:pStyle w:val="Compact"/>
      </w:pPr>
      <w:r>
        <w:rPr>
          <w:bCs/>
          <w:b/>
        </w:rPr>
        <w:t xml:space="preserve">Local Legal &amp; Financial Partnerships:</w:t>
      </w:r>
      <w:r>
        <w:t xml:space="preserve"> </w:t>
      </w:r>
      <w:r>
        <w:t xml:space="preserve">Joint offerings with Dubai-based law firms (e.g., Al Tamimi &amp; Company) for comprehensive business setup packages including audit services.</w:t>
      </w:r>
    </w:p>
    <w:bookmarkEnd w:id="25"/>
    <w:bookmarkStart w:id="26" w:name="experience-based-client-acquisition"/>
    <w:p>
      <w:pPr>
        <w:pStyle w:val="Heading3"/>
      </w:pPr>
      <w:r>
        <w:t xml:space="preserve">Experience-Based Client Acquisition</w:t>
      </w:r>
    </w:p>
    <w:p>
      <w:pPr>
        <w:pStyle w:val="FirstParagraph"/>
      </w:pPr>
      <w:r>
        <w:t xml:space="preserve">We prioritize trust-building in the UAE's relationship-driven market through:</w:t>
      </w:r>
    </w:p>
    <w:p>
      <w:pPr>
        <w:numPr>
          <w:ilvl w:val="0"/>
          <w:numId w:val="1005"/>
        </w:numPr>
        <w:pStyle w:val="Compact"/>
      </w:pPr>
      <w:r>
        <w:rPr>
          <w:bCs/>
          <w:b/>
        </w:rPr>
        <w:t xml:space="preserve">Dubai-Specific Pilot Program:</w:t>
      </w:r>
      <w:r>
        <w:t xml:space="preserve"> </w:t>
      </w:r>
      <w:r>
        <w:t xml:space="preserve">Offer free "Compliance Health Checks" for 50 Dubai SMEs to demonstrate our understanding of local pain points.</w:t>
      </w:r>
    </w:p>
    <w:p>
      <w:pPr>
        <w:numPr>
          <w:ilvl w:val="0"/>
          <w:numId w:val="1005"/>
        </w:numPr>
        <w:pStyle w:val="Compact"/>
      </w:pPr>
      <w:r>
        <w:rPr>
          <w:bCs/>
          <w:b/>
        </w:rPr>
        <w:t xml:space="preserve">Cultural Integration Events:</w:t>
      </w:r>
      <w:r>
        <w:t xml:space="preserve"> </w:t>
      </w:r>
      <w:r>
        <w:t xml:space="preserve">Host networking sessions during UAE National Day celebrations with Emirati business leaders at luxury venues like Atlantis The Palm.</w:t>
      </w:r>
    </w:p>
    <w:p>
      <w:pPr>
        <w:numPr>
          <w:ilvl w:val="0"/>
          <w:numId w:val="1005"/>
        </w:numPr>
        <w:pStyle w:val="Compact"/>
      </w:pPr>
      <w:r>
        <w:rPr>
          <w:bCs/>
          <w:b/>
        </w:rPr>
        <w:t xml:space="preserve">Referral Incentives:</w:t>
      </w:r>
      <w:r>
        <w:t xml:space="preserve"> </w:t>
      </w:r>
      <w:r>
        <w:t xml:space="preserve">15% commission for existing clients who refer new Dubai businesses (aligned with UAE's preference for personal recommendations).</w:t>
      </w:r>
    </w:p>
    <w:bookmarkEnd w:id="26"/>
    <w:bookmarkEnd w:id="27"/>
    <w:bookmarkStart w:id="28" w:name="X258adfdb18e73a9b0a8e2e56d5b28320497e717"/>
    <w:p>
      <w:pPr>
        <w:pStyle w:val="Heading2"/>
      </w:pPr>
      <w:r>
        <w:t xml:space="preserve">Budget Allocation: Dubai Market Priorities</w:t>
      </w:r>
    </w:p>
    <w:p>
      <w:pPr>
        <w:pStyle w:val="FirstParagraph"/>
      </w:pPr>
      <w:r>
        <w:t xml:space="preserve">We allocate $450,000 for Year 1 marketing in United Arab Emirates Dubai, prioritizing high-ROI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Strategic Focus</w:t>
            </w:r>
          </w:p>
        </w:tc>
      </w:tr>
      <w:tr>
        <w:tc>
          <w:tcPr/>
          <w:p>
            <w:pPr>
              <w:pStyle w:val="Compact"/>
              <w:jc w:val="left"/>
            </w:pPr>
            <w:r>
              <w:t xml:space="preserve">Digital Marketing (SEO, LinkedIn)</w:t>
            </w:r>
          </w:p>
        </w:tc>
        <w:tc>
          <w:tcPr/>
          <w:p>
            <w:pPr>
              <w:pStyle w:val="Compact"/>
              <w:jc w:val="left"/>
            </w:pPr>
            <w:r>
              <w:t xml:space="preserve">$160,000 (35%)</w:t>
            </w:r>
          </w:p>
        </w:tc>
        <w:tc>
          <w:tcPr/>
          <w:p>
            <w:pPr>
              <w:pStyle w:val="Compact"/>
              <w:jc w:val="left"/>
            </w:pPr>
            <w:r>
              <w:t xml:space="preserve">UAE-specific keyword targeting &amp; lead generation</w:t>
            </w:r>
          </w:p>
        </w:tc>
      </w:tr>
      <w:tr>
        <w:tc>
          <w:tcPr/>
          <w:p>
            <w:pPr>
              <w:pStyle w:val="Compact"/>
              <w:jc w:val="left"/>
            </w:pPr>
            <w:r>
              <w:t xml:space="preserve">Strategic Partnerships (Chamber of Commerce, Free Zones)</w:t>
            </w:r>
          </w:p>
        </w:tc>
        <w:tc>
          <w:tcPr/>
          <w:p>
            <w:pPr>
              <w:pStyle w:val="Compact"/>
              <w:jc w:val="left"/>
            </w:pPr>
            <w:r>
              <w:t xml:space="preserve">$145,000 (32%)</w:t>
            </w:r>
          </w:p>
        </w:tc>
        <w:tc>
          <w:tcPr/>
          <w:p>
            <w:pPr>
              <w:pStyle w:val="Compact"/>
              <w:jc w:val="left"/>
            </w:pPr>
            <w:r>
              <w:t xml:space="preserve">Authority endorsements &amp; client acquisition</w:t>
            </w:r>
          </w:p>
        </w:tc>
      </w:tr>
      <w:tr>
        <w:tc>
          <w:tcPr/>
          <w:p>
            <w:pPr>
              <w:pStyle w:val="Compact"/>
              <w:jc w:val="left"/>
            </w:pPr>
            <w:r>
              <w:t xml:space="preserve">Dubai Event Sponsorships (Business Forums)</w:t>
            </w:r>
          </w:p>
        </w:tc>
        <w:tc>
          <w:tcPr/>
          <w:p>
            <w:pPr>
              <w:pStyle w:val="Compact"/>
              <w:jc w:val="left"/>
            </w:pPr>
            <w:r>
              <w:t xml:space="preserve">$85,000 (19%)</w:t>
            </w:r>
          </w:p>
        </w:tc>
        <w:tc>
          <w:tcPr/>
          <w:p>
            <w:pPr>
              <w:pStyle w:val="Compact"/>
              <w:jc w:val="left"/>
            </w:pPr>
            <w:r>
              <w:t xml:space="preserve">Networking at UAE business events (e.g., Dubai International Financial Centre Events)</w:t>
            </w:r>
          </w:p>
        </w:tc>
      </w:tr>
      <w:tr>
        <w:tc>
          <w:tcPr/>
          <w:p>
            <w:pPr>
              <w:pStyle w:val="Compact"/>
              <w:jc w:val="left"/>
            </w:pPr>
            <w:r>
              <w:t xml:space="preserve">Cultural Content Development</w:t>
            </w:r>
          </w:p>
        </w:tc>
        <w:tc>
          <w:tcPr/>
          <w:p>
            <w:pPr>
              <w:pStyle w:val="Compact"/>
              <w:jc w:val="left"/>
            </w:pPr>
            <w:r>
              <w:t xml:space="preserve">$60,000 (13%)</w:t>
            </w:r>
          </w:p>
        </w:tc>
        <w:tc>
          <w:tcPr/>
          <w:p>
            <w:pPr>
              <w:pStyle w:val="Compact"/>
              <w:jc w:val="left"/>
            </w:pPr>
            <w:r>
              <w:t xml:space="preserve">Arabic-English audit guides &amp; case studies for Dubai market</w:t>
            </w:r>
          </w:p>
        </w:tc>
      </w:tr>
    </w:tbl>
    <w:bookmarkEnd w:id="28"/>
    <w:bookmarkStart w:id="29" w:name="X6dd279fcb9ce3c6822ebda32eed43c9a2b338d1"/>
    <w:p>
      <w:pPr>
        <w:pStyle w:val="Heading2"/>
      </w:pPr>
      <w:r>
        <w:t xml:space="preserve">Implementation Timeline: Dubai Market Entry Phase</w:t>
      </w:r>
    </w:p>
    <w:p>
      <w:pPr>
        <w:pStyle w:val="FirstParagraph"/>
      </w:pPr>
      <w:r>
        <w:rPr>
          <w:bCs/>
          <w:b/>
        </w:rPr>
        <w:t xml:space="preserve">Months 1-3:</w:t>
      </w:r>
      <w:r>
        <w:t xml:space="preserve"> </w:t>
      </w:r>
      <w:r>
        <w:t xml:space="preserve">Secure DIFC/DMCC approvals, launch bilingual website with UAE compliance content, and onboard first 10 pilot clients.</w:t>
      </w:r>
    </w:p>
    <w:p>
      <w:pPr>
        <w:pStyle w:val="BodyText"/>
      </w:pPr>
      <w:r>
        <w:rPr>
          <w:bCs/>
          <w:b/>
        </w:rPr>
        <w:t xml:space="preserve">Months 4-6:</w:t>
      </w:r>
      <w:r>
        <w:t xml:space="preserve"> </w:t>
      </w:r>
      <w:r>
        <w:t xml:space="preserve">Execute Dubai Chamber partnership workshop series; initiate referral program; achieve $250k in audit service commitments.</w:t>
      </w:r>
    </w:p>
    <w:p>
      <w:pPr>
        <w:pStyle w:val="BodyText"/>
      </w:pPr>
      <w:r>
        <w:rPr>
          <w:bCs/>
          <w:b/>
        </w:rPr>
        <w:t xml:space="preserve">Months 7-9:</w:t>
      </w:r>
      <w:r>
        <w:t xml:space="preserve"> </w:t>
      </w:r>
      <w:r>
        <w:t xml:space="preserve">Expand to Abu Dhabi market with UAE-wide reporting capability; secure 5 corporate partnerships for integrated service bundles.</w:t>
      </w:r>
    </w:p>
    <w:p>
      <w:pPr>
        <w:pStyle w:val="BodyText"/>
      </w:pPr>
      <w:r>
        <w:rPr>
          <w:bCs/>
          <w:b/>
        </w:rPr>
        <w:t xml:space="preserve">Months 10-12:</w:t>
      </w:r>
      <w:r>
        <w:t xml:space="preserve"> </w:t>
      </w:r>
      <w:r>
        <w:t xml:space="preserve">Targeting 50% client retention through Dubai-specific post-audit support (e.g., quarterly regulatory updates via WhatsApp).</w:t>
      </w:r>
    </w:p>
    <w:bookmarkEnd w:id="29"/>
    <w:bookmarkStart w:id="30" w:name="measurement-uae-compliance-alignment"/>
    <w:p>
      <w:pPr>
        <w:pStyle w:val="Heading2"/>
      </w:pPr>
      <w:r>
        <w:t xml:space="preserve">Measurement &amp; UAE Compliance Alignment</w:t>
      </w:r>
    </w:p>
    <w:p>
      <w:pPr>
        <w:pStyle w:val="FirstParagraph"/>
      </w:pPr>
      <w:r>
        <w:t xml:space="preserve">We track success through UAE-focused KPIs that measure both business growth and regulatory impact:</w:t>
      </w:r>
    </w:p>
    <w:p>
      <w:pPr>
        <w:numPr>
          <w:ilvl w:val="0"/>
          <w:numId w:val="1006"/>
        </w:numPr>
        <w:pStyle w:val="Compact"/>
      </w:pPr>
      <w:r>
        <w:rPr>
          <w:bCs/>
          <w:b/>
        </w:rPr>
        <w:t xml:space="preserve">Compliance Rate:</w:t>
      </w:r>
      <w:r>
        <w:t xml:space="preserve"> </w:t>
      </w:r>
      <w:r>
        <w:t xml:space="preserve">% of clients achieving 100% adherence to new UAE Corporate Tax regulations (measured via audit outcomes).</w:t>
      </w:r>
    </w:p>
    <w:p>
      <w:pPr>
        <w:numPr>
          <w:ilvl w:val="0"/>
          <w:numId w:val="1006"/>
        </w:numPr>
        <w:pStyle w:val="Compact"/>
      </w:pPr>
      <w:r>
        <w:rPr>
          <w:bCs/>
          <w:b/>
        </w:rPr>
        <w:t xml:space="preserve">Cultural Relevance Score:</w:t>
      </w:r>
      <w:r>
        <w:t xml:space="preserve"> </w:t>
      </w:r>
      <w:r>
        <w:t xml:space="preserve">Client satisfaction on "Understanding of Dubai Business Practices" (measured via post-audit surveys with Emirati business leaders).</w:t>
      </w:r>
    </w:p>
    <w:p>
      <w:pPr>
        <w:numPr>
          <w:ilvl w:val="0"/>
          <w:numId w:val="1006"/>
        </w:numPr>
        <w:pStyle w:val="Compact"/>
      </w:pPr>
      <w:r>
        <w:rPr>
          <w:bCs/>
          <w:b/>
        </w:rPr>
        <w:t xml:space="preserve">Market Share Growth:</w:t>
      </w:r>
      <w:r>
        <w:t xml:space="preserve"> </w:t>
      </w:r>
      <w:r>
        <w:t xml:space="preserve">Quarterly tracking against Dubai Chamber of Commerce SME registry data.</w:t>
      </w:r>
    </w:p>
    <w:p>
      <w:pPr>
        <w:pStyle w:val="FirstParagraph"/>
      </w:pPr>
      <w:r>
        <w:t xml:space="preserve">This marketing plan positions our auditor services as the indispensable partner for navigating Dubai's complex regulatory ecosystem. By embedding UAE-specific expertise into every touchpoint—from bilingual digital assets to free zone partnerships—we transform audit from a compliance burden into strategic business acceleration. As Dubai accelerates toward its 2030 vision of economic diversification, our tailored approach ensures we don't just serve the market, but actively shape its future through trusted auditor relationships.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United Arab Emirates Dubai</dc:title>
  <dc:creator/>
  <dc:language>en</dc:language>
  <cp:keywords/>
  <dcterms:created xsi:type="dcterms:W3CDTF">2026-07-23T14:13:31Z</dcterms:created>
  <dcterms:modified xsi:type="dcterms:W3CDTF">2026-07-23T14:13:31Z</dcterms:modified>
</cp:coreProperties>
</file>

<file path=docProps/custom.xml><?xml version="1.0" encoding="utf-8"?>
<Properties xmlns="http://schemas.openxmlformats.org/officeDocument/2006/custom-properties" xmlns:vt="http://schemas.openxmlformats.org/officeDocument/2006/docPropsVTypes"/>
</file>