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1c2859d2afb49c648211922fccc5f02eb646b8d"/>
    <w:p>
      <w:pPr>
        <w:pStyle w:val="Heading1"/>
      </w:pPr>
      <w:r>
        <w:t xml:space="preserve">Comprehensive Marketing Plan: Elevating Auditor Excellence in United States Miami</w:t>
      </w:r>
    </w:p>
    <w:bookmarkStart w:id="20" w:name="executive-summary"/>
    <w:p>
      <w:pPr>
        <w:pStyle w:val="Heading2"/>
      </w:pPr>
      <w:r>
        <w:t xml:space="preserve">Executive Summary</w:t>
      </w:r>
    </w:p>
    <w:p>
      <w:pPr>
        <w:pStyle w:val="FirstParagraph"/>
      </w:pPr>
      <w:r>
        <w:t xml:space="preserve">This Marketing Plan outlines a strategic roadmap to position our professional auditor services as the premier choice for businesses across the United States Miami market. With Miami's economy experiencing robust growth driven by international trade, tourism, real estate, and financial services, demand for precise and reliable auditing has never been higher. This plan leverages Miami's unique business ecosystem to deliver targeted solutions that address local challenges while establishing our firm as a trusted audit partner in the United States Miami landscape.</w:t>
      </w:r>
    </w:p>
    <w:bookmarkEnd w:id="20"/>
    <w:bookmarkStart w:id="21" w:name="market-analysis-the-miami-imperative"/>
    <w:p>
      <w:pPr>
        <w:pStyle w:val="Heading2"/>
      </w:pPr>
      <w:r>
        <w:t xml:space="preserve">Market Analysis: The Miami Imperative</w:t>
      </w:r>
    </w:p>
    <w:p>
      <w:pPr>
        <w:pStyle w:val="FirstParagraph"/>
      </w:pPr>
      <w:r>
        <w:t xml:space="preserve">United States Miami represents a high-stakes, complex market. As the epicenter of Latin American business connections and a global hub for luxury real estate and hospitality, businesses here face intricate financial reporting demands. According to the Miami Downtown Development Authority (2023), 45% of local enterprises cite tax compliance complexity as their top financial hurdle—directly tying into auditor necessity. The Florida Department of Revenue’s recent tax code updates further amplify the need for specialized audit expertise within United States Miami operations.</w:t>
      </w:r>
    </w:p>
    <w:p>
      <w:pPr>
        <w:pStyle w:val="BodyText"/>
      </w:pPr>
      <w:r>
        <w:t xml:space="preserve">Competitors often lack Miami-specific insights, focusing on generic national services rather than understanding the city's unique blend of international clients, Spanish-speaking business communities, and hurricane-related financial documentation needs. This gap presents a critical opportunity to differentiate through hyper-localized auditor services tailored explicitly for Miami’s dynamic environment.</w:t>
      </w:r>
    </w:p>
    <w:bookmarkEnd w:id="21"/>
    <w:bookmarkStart w:id="22" w:name="X68094813eb9f2c2fe638aa7be7fe306108ac048"/>
    <w:p>
      <w:pPr>
        <w:pStyle w:val="Heading2"/>
      </w:pPr>
      <w:r>
        <w:t xml:space="preserve">Target Audience: Precision-Driven Miami Businesses</w:t>
      </w:r>
    </w:p>
    <w:p>
      <w:pPr>
        <w:pStyle w:val="FirstParagraph"/>
      </w:pPr>
      <w:r>
        <w:t xml:space="preserve">Our primary focus targets three high-potential segments within United States Miami:</w:t>
      </w:r>
    </w:p>
    <w:p>
      <w:pPr>
        <w:numPr>
          <w:ilvl w:val="0"/>
          <w:numId w:val="1001"/>
        </w:numPr>
        <w:pStyle w:val="Compact"/>
      </w:pPr>
      <w:r>
        <w:rPr>
          <w:bCs/>
          <w:b/>
        </w:rPr>
        <w:t xml:space="preserve">Luxury Real Estate Developers &amp; Management Firms:</w:t>
      </w:r>
      <w:r>
        <w:t xml:space="preserve"> </w:t>
      </w:r>
      <w:r>
        <w:t xml:space="preserve">Facing complex investor reporting and international transaction scrutiny in neighborhoods like Brickell and Coconut Grove.</w:t>
      </w:r>
    </w:p>
    <w:p>
      <w:pPr>
        <w:numPr>
          <w:ilvl w:val="0"/>
          <w:numId w:val="1001"/>
        </w:numPr>
        <w:pStyle w:val="Compact"/>
      </w:pPr>
      <w:r>
        <w:rPr>
          <w:bCs/>
          <w:b/>
        </w:rPr>
        <w:t xml:space="preserve">Tourism &amp; Hospitality Chains:</w:t>
      </w:r>
      <w:r>
        <w:t xml:space="preserve"> </w:t>
      </w:r>
      <w:r>
        <w:t xml:space="preserve">Requiring audits that navigate seasonal revenue fluctuations and multi-jurisdictional compliance (e.g., hotel taxes across Miami-Dade County).</w:t>
      </w:r>
    </w:p>
    <w:p>
      <w:pPr>
        <w:pStyle w:val="FirstParagraph"/>
      </w:pPr>
      <w:r>
        <w:t xml:space="preserve">We will prioritize clients generating $5M+ in annual revenue, as they possess the budget for specialized auditor services and face the most acute compliance risks. Our messaging will emphasize "Miami-ready" expertise—ensuring audits meet both U.S. federal standards and Miami-specific municipal regulations.</w:t>
      </w:r>
    </w:p>
    <w:bookmarkEnd w:id="22"/>
    <w:bookmarkStart w:id="23" w:name="X6ccabd8fcf08a7564c56ea70a757d0f91b44f97"/>
    <w:p>
      <w:pPr>
        <w:pStyle w:val="Heading2"/>
      </w:pPr>
      <w:r>
        <w:t xml:space="preserve">Unique Value Proposition: The Miami Auditor Advantage</w:t>
      </w:r>
    </w:p>
    <w:p>
      <w:pPr>
        <w:pStyle w:val="FirstParagraph"/>
      </w:pPr>
      <w:r>
        <w:t xml:space="preserve">Beyond standard audit processes, our United States Miami-based auditor service offers:</w:t>
      </w:r>
    </w:p>
    <w:p>
      <w:pPr>
        <w:numPr>
          <w:ilvl w:val="0"/>
          <w:numId w:val="1002"/>
        </w:numPr>
        <w:pStyle w:val="Compact"/>
      </w:pPr>
      <w:r>
        <w:rPr>
          <w:bCs/>
          <w:b/>
        </w:rPr>
        <w:t xml:space="preserve">Local Regulatory Mastery:</w:t>
      </w:r>
      <w:r>
        <w:t xml:space="preserve"> </w:t>
      </w:r>
      <w:r>
        <w:t xml:space="preserve">Deep understanding of Florida Statutes (e.g., Section 668.10 on financial reporting) and Miami-Dade County tax ordinances.</w:t>
      </w:r>
    </w:p>
    <w:p>
      <w:pPr>
        <w:numPr>
          <w:ilvl w:val="0"/>
          <w:numId w:val="1002"/>
        </w:numPr>
        <w:pStyle w:val="Compact"/>
      </w:pPr>
      <w:r>
        <w:rPr>
          <w:bCs/>
          <w:b/>
        </w:rPr>
        <w:t xml:space="preserve">Bilingual Compliance Support:</w:t>
      </w:r>
      <w:r>
        <w:t xml:space="preserve"> </w:t>
      </w:r>
      <w:r>
        <w:t xml:space="preserve">Auditors certified in Spanish to streamline communication with the region's 70%+ Hispanic business community.</w:t>
      </w:r>
    </w:p>
    <w:p>
      <w:pPr>
        <w:numPr>
          <w:ilvl w:val="0"/>
          <w:numId w:val="1002"/>
        </w:numPr>
        <w:pStyle w:val="Compact"/>
      </w:pPr>
      <w:r>
        <w:rPr>
          <w:bCs/>
          <w:b/>
        </w:rPr>
        <w:t xml:space="preserve">Industry-Specific Audit Frameworks:</w:t>
      </w:r>
      <w:r>
        <w:t xml:space="preserve"> </w:t>
      </w:r>
      <w:r>
        <w:t xml:space="preserve">Customized protocols for hospitality revenue models, real estate investment trusts (REITs), and international trade logistics unique to Miami.</w:t>
      </w:r>
    </w:p>
    <w:p>
      <w:pPr>
        <w:pStyle w:val="FirstParagraph"/>
      </w:pPr>
      <w:r>
        <w:t xml:space="preserve">This isn't just auditing—it's strategic risk mitigation for businesses operating in the high-pressure United States Miami market.</w:t>
      </w:r>
    </w:p>
    <w:bookmarkEnd w:id="23"/>
    <w:bookmarkStart w:id="24" w:name="marketing-sales-strategy"/>
    <w:p>
      <w:pPr>
        <w:pStyle w:val="Heading2"/>
      </w:pPr>
      <w:r>
        <w:t xml:space="preserve">Marketing &amp; Sales Strategy</w:t>
      </w:r>
    </w:p>
    <w:p>
      <w:pPr>
        <w:pStyle w:val="FirstParagraph"/>
      </w:pPr>
      <w:r>
        <w:t xml:space="preserve">We will deploy a multi-channel strategy designed for maximum local impact:</w:t>
      </w:r>
    </w:p>
    <w:p>
      <w:pPr>
        <w:numPr>
          <w:ilvl w:val="0"/>
          <w:numId w:val="1003"/>
        </w:numPr>
        <w:pStyle w:val="Compact"/>
      </w:pPr>
      <w:r>
        <w:rPr>
          <w:bCs/>
          <w:b/>
        </w:rPr>
        <w:t xml:space="preserve">Hyper-Local Digital Campaigns:</w:t>
      </w:r>
      <w:r>
        <w:t xml:space="preserve"> </w:t>
      </w:r>
      <w:r>
        <w:t xml:space="preserve">Geo-targeted LinkedIn ads highlighting case studies from Miami clients (e.g., "How we reduced tax liability by 18% for a Brickell-based real estate firm"). SEO will prioritize keywords like "Miami auditor services," "Florida compliance audit," and "international business auditor Miami."</w:t>
      </w:r>
    </w:p>
    <w:p>
      <w:pPr>
        <w:numPr>
          <w:ilvl w:val="0"/>
          <w:numId w:val="1003"/>
        </w:numPr>
        <w:pStyle w:val="Compact"/>
      </w:pPr>
      <w:r>
        <w:rPr>
          <w:bCs/>
          <w:b/>
        </w:rPr>
        <w:t xml:space="preserve">Community Integration:</w:t>
      </w:r>
      <w:r>
        <w:t xml:space="preserve"> </w:t>
      </w:r>
      <w:r>
        <w:t xml:space="preserve">Sponsorships at key United States Miami events: The Greater Miami Chamber of Commerce's Economic Summit, the Art Basel Financial Roundtable, and South Florida Hispanic Chamber of Commerce initiatives. All materials will feature bilingual content.</w:t>
      </w:r>
    </w:p>
    <w:p>
      <w:pPr>
        <w:numPr>
          <w:ilvl w:val="0"/>
          <w:numId w:val="1003"/>
        </w:numPr>
        <w:pStyle w:val="Compact"/>
      </w:pPr>
      <w:r>
        <w:rPr>
          <w:bCs/>
          <w:b/>
        </w:rPr>
        <w:t xml:space="preserve">Referral Program with Local Partners:</w:t>
      </w:r>
      <w:r>
        <w:t xml:space="preserve"> </w:t>
      </w:r>
      <w:r>
        <w:t xml:space="preserve">Strategic alliances with Miami-based CPA firms (e.g., CohnReznick’s Miami office) and legal practices specializing in international business law. Referrals earn 15% commission on retained audit engagements.</w:t>
      </w:r>
    </w:p>
    <w:p>
      <w:pPr>
        <w:numPr>
          <w:ilvl w:val="0"/>
          <w:numId w:val="1003"/>
        </w:numPr>
        <w:pStyle w:val="Compact"/>
      </w:pPr>
      <w:r>
        <w:rPr>
          <w:bCs/>
          <w:b/>
        </w:rPr>
        <w:t xml:space="preserve">Premium Educational Content:</w:t>
      </w:r>
      <w:r>
        <w:t xml:space="preserve"> </w:t>
      </w:r>
      <w:r>
        <w:t xml:space="preserve">Quarterly "Miami Financial Compliance Briefings" hosted at our Brickell office, covering trending topics like hurricane-impacted financial reporting or crypto taxation updates specific to Florida.</w:t>
      </w:r>
    </w:p>
    <w:bookmarkEnd w:id="24"/>
    <w:bookmarkStart w:id="25" w:name="pricing-service-structure"/>
    <w:p>
      <w:pPr>
        <w:pStyle w:val="Heading2"/>
      </w:pPr>
      <w:r>
        <w:t xml:space="preserve">Pricing &amp; Service Structure</w:t>
      </w:r>
    </w:p>
    <w:p>
      <w:pPr>
        <w:pStyle w:val="FirstParagraph"/>
      </w:pPr>
      <w:r>
        <w:t xml:space="preserve">We implement a tiered pricing model aligned with Miami market rates:</w:t>
      </w:r>
    </w:p>
    <w:p>
      <w:pPr>
        <w:numPr>
          <w:ilvl w:val="0"/>
          <w:numId w:val="1004"/>
        </w:numPr>
        <w:pStyle w:val="Compact"/>
      </w:pPr>
      <w:r>
        <w:rPr>
          <w:bCs/>
          <w:b/>
        </w:rPr>
        <w:t xml:space="preserve">Essential Audit ($12,500):</w:t>
      </w:r>
      <w:r>
        <w:t xml:space="preserve"> </w:t>
      </w:r>
      <w:r>
        <w:t xml:space="preserve">For small businesses with straightforward tax profiles (e.g., single-location hospitality operations). Includes federal compliance and basic state filings.</w:t>
      </w:r>
    </w:p>
    <w:p>
      <w:pPr>
        <w:numPr>
          <w:ilvl w:val="0"/>
          <w:numId w:val="1004"/>
        </w:numPr>
        <w:pStyle w:val="Compact"/>
      </w:pPr>
      <w:r>
        <w:rPr>
          <w:bCs/>
          <w:b/>
        </w:rPr>
        <w:t xml:space="preserve">Premium Miami Audit ($28,000):</w:t>
      </w:r>
      <w:r>
        <w:t xml:space="preserve"> </w:t>
      </w:r>
      <w:r>
        <w:t xml:space="preserve">Targeted at real estate developers and trade firms. Covers multi-jurisdictional reporting, Spanish-language documentation support, and quarterly risk assessments.</w:t>
      </w:r>
    </w:p>
    <w:p>
      <w:pPr>
        <w:numPr>
          <w:ilvl w:val="0"/>
          <w:numId w:val="1004"/>
        </w:numPr>
        <w:pStyle w:val="Compact"/>
      </w:pPr>
      <w:r>
        <w:rPr>
          <w:bCs/>
          <w:b/>
        </w:rPr>
        <w:t xml:space="preserve">Enterprise Compliance Suite ($55,000+):</w:t>
      </w:r>
      <w:r>
        <w:t xml:space="preserve"> </w:t>
      </w:r>
      <w:r>
        <w:t xml:space="preserve">For multinational corporations with Miami operations. Includes integrated tax strategy sessions with our legal partners and 24/7 emergency audit response for hurricane-related financial events.</w:t>
      </w:r>
    </w:p>
    <w:p>
      <w:pPr>
        <w:pStyle w:val="FirstParagraph"/>
      </w:pPr>
      <w:r>
        <w:t xml:space="preserve">Pricing reflects the specialized knowledge required to serve the United States Miami market, ensuring value through risk reduction rather than cost minimization.</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Miami Chamber of Commerce partnership; launch geo-targeted digital campaigns; finalize bilingual audit team.</w:t>
            </w:r>
          </w:p>
        </w:tc>
      </w:tr>
      <w:tr>
        <w:tc>
          <w:tcPr/>
          <w:p>
            <w:pPr>
              <w:pStyle w:val="Compact"/>
              <w:jc w:val="left"/>
            </w:pPr>
            <w:r>
              <w:t xml:space="preserve">Q2 2024</w:t>
            </w:r>
          </w:p>
        </w:tc>
        <w:tc>
          <w:tcPr/>
          <w:p>
            <w:pPr>
              <w:pStyle w:val="Compact"/>
              <w:jc w:val="left"/>
            </w:pPr>
            <w:r>
              <w:t xml:space="preserve">Host first "Miami Financial Compliance Briefing"; secure three pilot clients in hospitality sector.</w:t>
            </w:r>
          </w:p>
        </w:tc>
      </w:tr>
      <w:tr>
        <w:tc>
          <w:tcPr/>
          <w:p>
            <w:pPr>
              <w:pStyle w:val="Compact"/>
              <w:jc w:val="left"/>
            </w:pPr>
            <w:r>
              <w:t xml:space="preserve">Q3 2024</w:t>
            </w:r>
          </w:p>
        </w:tc>
        <w:tc>
          <w:tcPr/>
          <w:p>
            <w:pPr>
              <w:pStyle w:val="Compact"/>
              <w:jc w:val="left"/>
            </w:pPr>
            <w:r>
              <w:t xml:space="preserve">Expand referral network with two top Miami CPA firms; debut premium audit package at Art Basel event.</w:t>
            </w:r>
          </w:p>
        </w:tc>
      </w:tr>
      <w:tr>
        <w:tc>
          <w:tcPr/>
          <w:p>
            <w:pPr>
              <w:pStyle w:val="Compact"/>
              <w:jc w:val="left"/>
            </w:pPr>
            <w:r>
              <w:t xml:space="preserve">Q4 2024</w:t>
            </w:r>
          </w:p>
        </w:tc>
        <w:tc>
          <w:tcPr/>
          <w:p>
            <w:pPr>
              <w:pStyle w:val="Compact"/>
              <w:jc w:val="left"/>
            </w:pPr>
            <w:r>
              <w:t xml:space="preserve">Audit retention rate target: 85%+; launch client success stories featuring Miami-based businesses.</w:t>
            </w:r>
          </w:p>
        </w:tc>
      </w:tr>
    </w:tbl>
    <w:bookmarkEnd w:id="26"/>
    <w:bookmarkStart w:id="27" w:name="measurement-success-metrics"/>
    <w:p>
      <w:pPr>
        <w:pStyle w:val="Heading2"/>
      </w:pPr>
      <w:r>
        <w:t xml:space="preserve">Measurement &amp; Success Metrics</w:t>
      </w:r>
    </w:p>
    <w:p>
      <w:pPr>
        <w:pStyle w:val="FirstParagraph"/>
      </w:pPr>
      <w:r>
        <w:t xml:space="preserve">We will track success using Miami-specific KPIs:</w:t>
      </w:r>
    </w:p>
    <w:p>
      <w:pPr>
        <w:numPr>
          <w:ilvl w:val="0"/>
          <w:numId w:val="1005"/>
        </w:numPr>
        <w:pStyle w:val="Compact"/>
      </w:pPr>
      <w:r>
        <w:rPr>
          <w:bCs/>
          <w:b/>
        </w:rPr>
        <w:t xml:space="preserve">Client Acquisition Cost (CAC):</w:t>
      </w:r>
      <w:r>
        <w:t xml:space="preserve"> </w:t>
      </w:r>
      <w:r>
        <w:t xml:space="preserve">Target: ≤$4,500 per Miami client.</w:t>
      </w:r>
    </w:p>
    <w:p>
      <w:pPr>
        <w:numPr>
          <w:ilvl w:val="0"/>
          <w:numId w:val="1005"/>
        </w:numPr>
        <w:pStyle w:val="Compact"/>
      </w:pPr>
      <w:r>
        <w:rPr>
          <w:bCs/>
          <w:b/>
        </w:rPr>
        <w:t xml:space="preserve">Miami Market Share Growth:</w:t>
      </w:r>
      <w:r>
        <w:t xml:space="preserve"> </w:t>
      </w:r>
      <w:r>
        <w:t xml:space="preserve">Target: 12% penetration among target segments within 18 months.</w:t>
      </w:r>
    </w:p>
    <w:p>
      <w:pPr>
        <w:numPr>
          <w:ilvl w:val="0"/>
          <w:numId w:val="1005"/>
        </w:numPr>
        <w:pStyle w:val="Compact"/>
      </w:pPr>
      <w:r>
        <w:rPr>
          <w:bCs/>
          <w:b/>
        </w:rPr>
        <w:t xml:space="preserve">Cross-Sell Rate:</w:t>
      </w:r>
      <w:r>
        <w:t xml:space="preserve"> </w:t>
      </w:r>
      <w:r>
        <w:t xml:space="preserve">Target: 35% of audit clients purchasing tax advisory services.</w:t>
      </w:r>
    </w:p>
    <w:p>
      <w:pPr>
        <w:numPr>
          <w:ilvl w:val="0"/>
          <w:numId w:val="1005"/>
        </w:numPr>
        <w:pStyle w:val="Compact"/>
      </w:pPr>
      <w:r>
        <w:rPr>
          <w:bCs/>
          <w:b/>
        </w:rPr>
        <w:t xml:space="preserve">Net Promoter Score (NPS):</w:t>
      </w:r>
      <w:r>
        <w:t xml:space="preserve"> </w:t>
      </w:r>
      <w:r>
        <w:t xml:space="preserve">Target: ≥75 in Miami client surveys, reflecting localized service excellence.</w:t>
      </w:r>
    </w:p>
    <w:p>
      <w:pPr>
        <w:pStyle w:val="FirstParagraph"/>
      </w:pPr>
      <w:r>
        <w:t xml:space="preserve">All metrics will be reviewed monthly against the United States Miami market benchmarks provided by the Florida Office of Financial Regulation.</w:t>
      </w:r>
    </w:p>
    <w:bookmarkEnd w:id="27"/>
    <w:bookmarkStart w:id="28" w:name="conclusion-the-miami-audit-imperative"/>
    <w:p>
      <w:pPr>
        <w:pStyle w:val="Heading2"/>
      </w:pPr>
      <w:r>
        <w:t xml:space="preserve">Conclusion: The Miami Audit Imperative</w:t>
      </w:r>
    </w:p>
    <w:p>
      <w:pPr>
        <w:pStyle w:val="FirstParagraph"/>
      </w:pPr>
      <w:r>
        <w:t xml:space="preserve">In today’s volatile economic climate, a competent Auditor isn't just beneficial—it's essential for survival in United States Miami. This Marketing Plan delivers more than generic audit services; it provides a strategic partnership designed for the unique pressures of operating within the city’s dynamic economy. By embedding our auditor expertise into Miami's business fabric through targeted localization, community integration, and industry-specific solutions, we will establish an unshakeable reputation as the go-to Auditor partner across every corner of United States Miami. The time to secure your financial future is now—before compliance gaps become costly vulnerabilities.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United States Miami</dc:title>
  <dc:creator/>
  <dc:language>en</dc:language>
  <cp:keywords/>
  <dcterms:created xsi:type="dcterms:W3CDTF">2026-07-25T00:01:52Z</dcterms:created>
  <dcterms:modified xsi:type="dcterms:W3CDTF">2026-07-25T00:01:52Z</dcterms:modified>
</cp:coreProperties>
</file>

<file path=docProps/custom.xml><?xml version="1.0" encoding="utf-8"?>
<Properties xmlns="http://schemas.openxmlformats.org/officeDocument/2006/custom-properties" xmlns:vt="http://schemas.openxmlformats.org/officeDocument/2006/docPropsVTypes"/>
</file>