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X75392909c57aea1328d116ab9d688a12eea6807"/>
    <w:p>
      <w:pPr>
        <w:pStyle w:val="Heading1"/>
      </w:pPr>
      <w:r>
        <w:t xml:space="preserve">Comprehensive Marketing Plan for Elite Auditor Services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auditing firm targeting businesses across the United States New York City marketplace. As the financial hub of North America, New York City demands auditors with deep local expertise, regulatory mastery, and agile service delivery. This plan details how our specialized</w:t>
      </w:r>
      <w:r>
        <w:t xml:space="preserve"> </w:t>
      </w:r>
      <w:r>
        <w:rPr>
          <w:bCs/>
          <w:b/>
        </w:rPr>
        <w:t xml:space="preserve">Auditor</w:t>
      </w:r>
      <w:r>
        <w:t xml:space="preserve"> </w:t>
      </w:r>
      <w:r>
        <w:t xml:space="preserve">services will dominate the NYC market through hyper-localized strategies, technology-driven solutions, and unwavering compliance excellence. We project capturing 12% of the commercial audit market in Manhattan by Year 3 with $4.8M in annual revenue.</w:t>
      </w:r>
    </w:p>
    <w:bookmarkEnd w:id="20"/>
    <w:bookmarkStart w:id="21" w:name="Xeb6fac4adb08d3b2e98633c65390171f0dbce7b"/>
    <w:p>
      <w:pPr>
        <w:pStyle w:val="Heading2"/>
      </w:pPr>
      <w:r>
        <w:t xml:space="preserve">Situation Analysis: The New York City Audit Landscape</w:t>
      </w:r>
    </w:p>
    <w:p>
      <w:pPr>
        <w:pStyle w:val="FirstParagraph"/>
      </w:pPr>
      <w:r>
        <w:t xml:space="preserve">New York City represents a $970M commercial audit market with unique challenges: stringent NYC Department of Finance regulations, high-volume corporate entities (10,500+ active corporations in Midtown alone), and complex tax jurisdictions. Competitors like Deloitte and PwC dominate but lack niche focus on NYC-specific compliance needs. Our analysis reveals three critical gaps:</w:t>
      </w:r>
    </w:p>
    <w:p>
      <w:pPr>
        <w:numPr>
          <w:ilvl w:val="0"/>
          <w:numId w:val="1001"/>
        </w:numPr>
        <w:pStyle w:val="Compact"/>
      </w:pPr>
      <w:r>
        <w:rPr>
          <w:bCs/>
          <w:b/>
        </w:rPr>
        <w:t xml:space="preserve">Regulatory Fragmentation</w:t>
      </w:r>
      <w:r>
        <w:t xml:space="preserve">: 67% of NYC businesses struggle with overlapping city-state-federal requirements</w:t>
      </w:r>
    </w:p>
    <w:p>
      <w:pPr>
        <w:numPr>
          <w:ilvl w:val="0"/>
          <w:numId w:val="1001"/>
        </w:numPr>
        <w:pStyle w:val="Compact"/>
      </w:pPr>
      <w:r>
        <w:rPr>
          <w:bCs/>
          <w:b/>
        </w:rPr>
        <w:t xml:space="preserve">Service Speed Gap</w:t>
      </w:r>
      <w:r>
        <w:t xml:space="preserve">: Average audit turnaround exceeds 12 weeks (vs. industry best practice of 8 weeks)</w:t>
      </w:r>
    </w:p>
    <w:p>
      <w:pPr>
        <w:numPr>
          <w:ilvl w:val="0"/>
          <w:numId w:val="1001"/>
        </w:numPr>
        <w:pStyle w:val="Compact"/>
      </w:pPr>
      <w:r>
        <w:rPr>
          <w:bCs/>
          <w:b/>
        </w:rPr>
        <w:t xml:space="preserve">Niche Expertise Shortage</w:t>
      </w:r>
      <w:r>
        <w:t xml:space="preserve">: Only 3% of NYC auditors specialize in hospitality and real estate sectors (accounting for 42% of city's commercial activity)</w:t>
      </w:r>
    </w:p>
    <w:p>
      <w:pPr>
        <w:pStyle w:val="FirstParagraph"/>
      </w:pPr>
      <w:r>
        <w:t xml:space="preserve">Our unique value proposition directly addresses these through NYC-centric audit protocols, AI-powered workflow automation, and sector-specialized teams.</w:t>
      </w:r>
    </w:p>
    <w:bookmarkEnd w:id="21"/>
    <w:bookmarkStart w:id="22" w:name="X38ef9e3467172368aac2af01594cfe573b69241"/>
    <w:p>
      <w:pPr>
        <w:pStyle w:val="Heading2"/>
      </w:pPr>
      <w:r>
        <w:t xml:space="preserve">Marketing Objectives: United States New York City Focus</w:t>
      </w:r>
    </w:p>
    <w:p>
      <w:pPr>
        <w:pStyle w:val="FirstParagraph"/>
      </w:pPr>
      <w:r>
        <w:t xml:space="preserve">All objectives are quantified with NYC-specific targets:</w:t>
      </w:r>
    </w:p>
    <w:p>
      <w:pPr>
        <w:numPr>
          <w:ilvl w:val="0"/>
          <w:numId w:val="1002"/>
        </w:numPr>
        <w:pStyle w:val="Compact"/>
      </w:pPr>
      <w:r>
        <w:rPr>
          <w:bCs/>
          <w:b/>
        </w:rPr>
        <w:t xml:space="preserve">Market Share</w:t>
      </w:r>
      <w:r>
        <w:t xml:space="preserve">: Achieve 8% penetration in Manhattan commercial audit segment within 18 months</w:t>
      </w:r>
    </w:p>
    <w:p>
      <w:pPr>
        <w:numPr>
          <w:ilvl w:val="0"/>
          <w:numId w:val="1002"/>
        </w:numPr>
        <w:pStyle w:val="Compact"/>
      </w:pPr>
      <w:r>
        <w:rPr>
          <w:bCs/>
          <w:b/>
        </w:rPr>
        <w:t xml:space="preserve">Client Acquisition</w:t>
      </w:r>
      <w:r>
        <w:t xml:space="preserve">: Secure 75 new clients from Fortune 500 NYC offices and emerging startups by Year 2</w:t>
      </w:r>
    </w:p>
    <w:p>
      <w:pPr>
        <w:numPr>
          <w:ilvl w:val="0"/>
          <w:numId w:val="1002"/>
        </w:numPr>
        <w:pStyle w:val="Compact"/>
      </w:pPr>
      <w:r>
        <w:rPr>
          <w:bCs/>
          <w:b/>
        </w:rPr>
        <w:t xml:space="preserve">Brand Positioning</w:t>
      </w:r>
      <w:r>
        <w:t xml:space="preserve">: Become the most trusted independent</w:t>
      </w:r>
      <w:r>
        <w:t xml:space="preserve"> </w:t>
      </w:r>
      <w:r>
        <w:rPr>
          <w:iCs/>
          <w:i/>
        </w:rPr>
        <w:t xml:space="preserve">Auditor</w:t>
      </w:r>
      <w:r>
        <w:t xml:space="preserve"> </w:t>
      </w:r>
      <w:r>
        <w:t xml:space="preserve">for NYC-regulated entities per Gartner's Q3 2024 survey</w:t>
      </w:r>
    </w:p>
    <w:p>
      <w:pPr>
        <w:numPr>
          <w:ilvl w:val="0"/>
          <w:numId w:val="1002"/>
        </w:numPr>
        <w:pStyle w:val="Compact"/>
      </w:pPr>
      <w:r>
        <w:rPr>
          <w:bCs/>
          <w:b/>
        </w:rPr>
        <w:t xml:space="preserve">Differentiation</w:t>
      </w:r>
      <w:r>
        <w:t xml:space="preserve">: Achieve 95% client retention rate through NYC-specific compliance assurance (vs. industry average of 78%)</w:t>
      </w:r>
    </w:p>
    <w:bookmarkEnd w:id="22"/>
    <w:bookmarkStart w:id="25" w:name="Xe708a7c1d4b1a02864db1ee8980ba8428d10325"/>
    <w:p>
      <w:pPr>
        <w:pStyle w:val="Heading2"/>
      </w:pPr>
      <w:r>
        <w:t xml:space="preserve">Target Audience: Precision-Defined for New York City</w:t>
      </w:r>
    </w:p>
    <w:p>
      <w:pPr>
        <w:pStyle w:val="FirstParagraph"/>
      </w:pPr>
      <w:r>
        <w:t xml:space="preserve">We segment clients by NYC operational complexity:</w:t>
      </w:r>
    </w:p>
    <w:bookmarkStart w:id="23" w:name="X5921846bfae9480190705541577855c43b8bafc"/>
    <w:p>
      <w:pPr>
        <w:pStyle w:val="Heading3"/>
      </w:pPr>
      <w:r>
        <w:t xml:space="preserve">Primary Segment: High-Value Corporate Entities (65% of target)</w:t>
      </w:r>
    </w:p>
    <w:p>
      <w:pPr>
        <w:numPr>
          <w:ilvl w:val="0"/>
          <w:numId w:val="1003"/>
        </w:numPr>
        <w:pStyle w:val="Compact"/>
      </w:pPr>
      <w:r>
        <w:rPr>
          <w:bCs/>
          <w:b/>
        </w:rPr>
        <w:t xml:space="preserve">Profile</w:t>
      </w:r>
      <w:r>
        <w:t xml:space="preserve">: Fortune 500 subsidiaries, NYSE-listed companies, and multinational HQs operating in NYC</w:t>
      </w:r>
    </w:p>
    <w:p>
      <w:pPr>
        <w:numPr>
          <w:ilvl w:val="0"/>
          <w:numId w:val="1003"/>
        </w:numPr>
        <w:pStyle w:val="Compact"/>
      </w:pPr>
      <w:r>
        <w:rPr>
          <w:bCs/>
          <w:b/>
        </w:rPr>
        <w:t xml:space="preserve">Pain Points</w:t>
      </w:r>
      <w:r>
        <w:t xml:space="preserve">: Navigating NYC's unique tax abatements (e.g., 28% commercial rent tax), building code compliance costs, and local labor law audits</w:t>
      </w:r>
    </w:p>
    <w:p>
      <w:pPr>
        <w:numPr>
          <w:ilvl w:val="0"/>
          <w:numId w:val="1003"/>
        </w:numPr>
        <w:pStyle w:val="Compact"/>
      </w:pPr>
      <w:r>
        <w:rPr>
          <w:bCs/>
          <w:b/>
        </w:rPr>
        <w:t xml:space="preserve">Our Solution</w:t>
      </w:r>
      <w:r>
        <w:t xml:space="preserve">: "NYC Compliance Shield" – integrated audit package covering city filings, DOB documentation, and real estate portfolio reviews</w:t>
      </w:r>
    </w:p>
    <w:bookmarkEnd w:id="23"/>
    <w:bookmarkStart w:id="24" w:name="X523af9f5d7e5008995b985795164f6755038030"/>
    <w:p>
      <w:pPr>
        <w:pStyle w:val="Heading3"/>
      </w:pPr>
      <w:r>
        <w:t xml:space="preserve">Secondary Segment: Growth-Stage Startups &amp; SMEs (35% of target)</w:t>
      </w:r>
    </w:p>
    <w:p>
      <w:pPr>
        <w:numPr>
          <w:ilvl w:val="0"/>
          <w:numId w:val="1004"/>
        </w:numPr>
        <w:pStyle w:val="Compact"/>
      </w:pPr>
      <w:r>
        <w:rPr>
          <w:bCs/>
          <w:b/>
        </w:rPr>
        <w:t xml:space="preserve">Profile</w:t>
      </w:r>
      <w:r>
        <w:t xml:space="preserve">: Tech unicorns (e.g., in Brooklyn Tech Triangle), hospitality startups, and retail chains scaling in NYC</w:t>
      </w:r>
    </w:p>
    <w:p>
      <w:pPr>
        <w:numPr>
          <w:ilvl w:val="0"/>
          <w:numId w:val="1004"/>
        </w:numPr>
        <w:pStyle w:val="Compact"/>
      </w:pPr>
      <w:r>
        <w:rPr>
          <w:bCs/>
          <w:b/>
        </w:rPr>
        <w:t xml:space="preserve">Pain Points</w:t>
      </w:r>
      <w:r>
        <w:t xml:space="preserve">: Limited internal audit resources, navigating city business license renewals, and securing investor audits for Series A funding</w:t>
      </w:r>
    </w:p>
    <w:p>
      <w:pPr>
        <w:numPr>
          <w:ilvl w:val="0"/>
          <w:numId w:val="1004"/>
        </w:numPr>
        <w:pStyle w:val="Compact"/>
      </w:pPr>
      <w:r>
        <w:rPr>
          <w:bCs/>
          <w:b/>
        </w:rPr>
        <w:t xml:space="preserve">Our Solution</w:t>
      </w:r>
      <w:r>
        <w:t xml:space="preserve">: "Growth Audit Accelerator" – modular services with 72-hour turnaround for critical filings</w:t>
      </w:r>
    </w:p>
    <w:bookmarkEnd w:id="24"/>
    <w:bookmarkEnd w:id="25"/>
    <w:bookmarkStart w:id="30" w:name="Xfa50ac98e2f506302d5cbf7438f0e657baee4b9"/>
    <w:p>
      <w:pPr>
        <w:pStyle w:val="Heading2"/>
      </w:pPr>
      <w:r>
        <w:t xml:space="preserve">Marketing Strategies: NYC-First Execution Framework</w:t>
      </w:r>
    </w:p>
    <w:bookmarkStart w:id="26" w:name="X9dd30562eff9f2ca0dd444f455d56929322a0d6"/>
    <w:p>
      <w:pPr>
        <w:pStyle w:val="Heading3"/>
      </w:pPr>
      <w:r>
        <w:t xml:space="preserve">Product Strategy: Localized Audit Solutions</w:t>
      </w:r>
    </w:p>
    <w:p>
      <w:pPr>
        <w:pStyle w:val="FirstParagraph"/>
      </w:pPr>
      <w:r>
        <w:t xml:space="preserve">We offer three tiered service bundles engineered for United States New York City operations:</w:t>
      </w:r>
    </w:p>
    <w:p>
      <w:pPr>
        <w:numPr>
          <w:ilvl w:val="0"/>
          <w:numId w:val="1005"/>
        </w:numPr>
        <w:pStyle w:val="Compact"/>
      </w:pPr>
      <w:r>
        <w:rPr>
          <w:bCs/>
          <w:b/>
        </w:rPr>
        <w:t xml:space="preserve">NYC Core Audit</w:t>
      </w:r>
      <w:r>
        <w:t xml:space="preserve">: Mandatory city-state-federal compliance check ($14,500)</w:t>
      </w:r>
    </w:p>
    <w:p>
      <w:pPr>
        <w:numPr>
          <w:ilvl w:val="0"/>
          <w:numId w:val="1005"/>
        </w:numPr>
        <w:pStyle w:val="Compact"/>
      </w:pPr>
      <w:r>
        <w:rPr>
          <w:bCs/>
          <w:b/>
        </w:rPr>
        <w:t xml:space="preserve">NYC Premium Assurance</w:t>
      </w:r>
      <w:r>
        <w:t xml:space="preserve">: Includes real estate portfolio audit and DOB certification ($28,900)</w:t>
      </w:r>
    </w:p>
    <w:p>
      <w:pPr>
        <w:numPr>
          <w:ilvl w:val="0"/>
          <w:numId w:val="1005"/>
        </w:numPr>
        <w:pStyle w:val="Compact"/>
      </w:pPr>
      <w:r>
        <w:rPr>
          <w:bCs/>
          <w:b/>
        </w:rPr>
        <w:t xml:space="preserve">NYC Enterprise Compliance Suite</w:t>
      </w:r>
      <w:r>
        <w:t xml:space="preserve">: Full regulatory mapping for multi-site operations (custom pricing)</w:t>
      </w:r>
    </w:p>
    <w:p>
      <w:pPr>
        <w:pStyle w:val="FirstParagraph"/>
      </w:pPr>
      <w:r>
        <w:t xml:space="preserve">Each service integrates NYC-specific tools: proprietary "CityCode Analyzer" software flagging local violations in real-time.</w:t>
      </w:r>
    </w:p>
    <w:bookmarkEnd w:id="26"/>
    <w:bookmarkStart w:id="27" w:name="X2a0324a09b7ea315e1585ab9a5ca5c22f10681b"/>
    <w:p>
      <w:pPr>
        <w:pStyle w:val="Heading3"/>
      </w:pPr>
      <w:r>
        <w:t xml:space="preserve">Pricing Strategy: Value-Based for NYC Market</w:t>
      </w:r>
    </w:p>
    <w:p>
      <w:pPr>
        <w:pStyle w:val="FirstParagraph"/>
      </w:pPr>
      <w:r>
        <w:t xml:space="preserve">Our pricing reflects NYC's premium compliance landscape:</w:t>
      </w:r>
    </w:p>
    <w:p>
      <w:pPr>
        <w:numPr>
          <w:ilvl w:val="0"/>
          <w:numId w:val="1006"/>
        </w:numPr>
        <w:pStyle w:val="Compact"/>
      </w:pPr>
      <w:r>
        <w:rPr>
          <w:bCs/>
          <w:b/>
        </w:rPr>
        <w:t xml:space="preserve">Value Premium</w:t>
      </w:r>
      <w:r>
        <w:t xml:space="preserve">: 18% above national average (justified by 40% faster resolution of city-specific issues)</w:t>
      </w:r>
    </w:p>
    <w:p>
      <w:pPr>
        <w:numPr>
          <w:ilvl w:val="0"/>
          <w:numId w:val="1006"/>
        </w:numPr>
        <w:pStyle w:val="Compact"/>
      </w:pPr>
      <w:r>
        <w:rPr>
          <w:bCs/>
          <w:b/>
        </w:rPr>
        <w:t xml:space="preserve">NYC Loyalty Program</w:t>
      </w:r>
      <w:r>
        <w:t xml:space="preserve">: 25% discount for businesses with operations in all five boroughs</w:t>
      </w:r>
    </w:p>
    <w:p>
      <w:pPr>
        <w:numPr>
          <w:ilvl w:val="0"/>
          <w:numId w:val="1006"/>
        </w:numPr>
        <w:pStyle w:val="Compact"/>
      </w:pPr>
      <w:r>
        <w:rPr>
          <w:bCs/>
          <w:b/>
        </w:rPr>
        <w:t xml:space="preserve">Free City Compliance Briefings</w:t>
      </w:r>
      <w:r>
        <w:t xml:space="preserve">: Quarterly workshops at Soho offices addressing upcoming NYC regulations</w:t>
      </w:r>
    </w:p>
    <w:bookmarkEnd w:id="27"/>
    <w:bookmarkStart w:id="28" w:name="Xec1209a72ed490faa5f6b8c5d268109680845eb"/>
    <w:p>
      <w:pPr>
        <w:pStyle w:val="Heading3"/>
      </w:pPr>
      <w:r>
        <w:t xml:space="preserve">Distribution (Place) Strategy: Hyper-Local Presence</w:t>
      </w:r>
    </w:p>
    <w:p>
      <w:pPr>
        <w:pStyle w:val="FirstParagraph"/>
      </w:pPr>
      <w:r>
        <w:t xml:space="preserve">Service delivery is anchored in NYC with three physical locations:</w:t>
      </w:r>
    </w:p>
    <w:p>
      <w:pPr>
        <w:numPr>
          <w:ilvl w:val="0"/>
          <w:numId w:val="1007"/>
        </w:numPr>
        <w:pStyle w:val="Compact"/>
      </w:pPr>
      <w:r>
        <w:rPr>
          <w:bCs/>
          <w:b/>
        </w:rPr>
        <w:t xml:space="preserve">Manhattan HQ</w:t>
      </w:r>
      <w:r>
        <w:t xml:space="preserve">: 24/7 client portal access and face-to-face audits at 550 Madison Avenue</w:t>
      </w:r>
    </w:p>
    <w:p>
      <w:pPr>
        <w:numPr>
          <w:ilvl w:val="0"/>
          <w:numId w:val="1007"/>
        </w:numPr>
        <w:pStyle w:val="Compact"/>
      </w:pPr>
      <w:r>
        <w:rPr>
          <w:bCs/>
          <w:b/>
        </w:rPr>
        <w:t xml:space="preserve">Bronx Operations Center</w:t>
      </w:r>
      <w:r>
        <w:t xml:space="preserve">: Specialized for healthcare facility audits (serving NYC Health + Hospitals)</w:t>
      </w:r>
    </w:p>
    <w:p>
      <w:pPr>
        <w:numPr>
          <w:ilvl w:val="0"/>
          <w:numId w:val="1007"/>
        </w:numPr>
        <w:pStyle w:val="Compact"/>
      </w:pPr>
      <w:r>
        <w:rPr>
          <w:bCs/>
          <w:b/>
        </w:rPr>
        <w:t xml:space="preserve">Brooklyn Innovation Hub</w:t>
      </w:r>
      <w:r>
        <w:t xml:space="preserve">: Tech startup support with co-working audit sessions in DUMBO</w:t>
      </w:r>
    </w:p>
    <w:bookmarkEnd w:id="28"/>
    <w:bookmarkStart w:id="29" w:name="Xa378ca2a8d7b924c3a6fd2289114f5bd55779bf"/>
    <w:p>
      <w:pPr>
        <w:pStyle w:val="Heading3"/>
      </w:pPr>
      <w:r>
        <w:t xml:space="preserve">Promotion Strategy: NYC Community Integration</w:t>
      </w:r>
    </w:p>
    <w:p>
      <w:pPr>
        <w:pStyle w:val="FirstParagraph"/>
      </w:pPr>
      <w:r>
        <w:t xml:space="preserve">Our promotion leverages New York City's business ecosystem:</w:t>
      </w:r>
    </w:p>
    <w:p>
      <w:pPr>
        <w:numPr>
          <w:ilvl w:val="0"/>
          <w:numId w:val="1008"/>
        </w:numPr>
        <w:pStyle w:val="Compact"/>
      </w:pPr>
      <w:r>
        <w:rPr>
          <w:bCs/>
          <w:b/>
        </w:rPr>
        <w:t xml:space="preserve">NYC Business Alliance Sponsorships</w:t>
      </w:r>
      <w:r>
        <w:t xml:space="preserve">: $120K annual investment in NY State Chamber of Commerce events</w:t>
      </w:r>
    </w:p>
    <w:p>
      <w:pPr>
        <w:numPr>
          <w:ilvl w:val="0"/>
          <w:numId w:val="1008"/>
        </w:numPr>
        <w:pStyle w:val="Compact"/>
      </w:pPr>
      <w:r>
        <w:rPr>
          <w:bCs/>
          <w:b/>
        </w:rPr>
        <w:t xml:space="preserve">Social Proof Campaigns</w:t>
      </w:r>
      <w:r>
        <w:t xml:space="preserve">: "Audit Success Stories" featuring clients like Tribeca Film Festival and Soho House Group (filmed on location)</w:t>
      </w:r>
    </w:p>
    <w:p>
      <w:pPr>
        <w:numPr>
          <w:ilvl w:val="0"/>
          <w:numId w:val="1008"/>
        </w:numPr>
        <w:pStyle w:val="Compact"/>
      </w:pPr>
      <w:r>
        <w:rPr>
          <w:bCs/>
          <w:b/>
        </w:rPr>
        <w:t xml:space="preserve">Thought Leadership</w:t>
      </w:r>
      <w:r>
        <w:t xml:space="preserve">: Free "NYC Regulatory Pulse" newsletter delivered to 15,000 NYC business leaders via LinkedIn</w:t>
      </w:r>
    </w:p>
    <w:p>
      <w:pPr>
        <w:numPr>
          <w:ilvl w:val="0"/>
          <w:numId w:val="1008"/>
        </w:numPr>
        <w:pStyle w:val="Compact"/>
      </w:pPr>
      <w:r>
        <w:rPr>
          <w:bCs/>
          <w:b/>
        </w:rPr>
        <w:t xml:space="preserve">Strategic Partnerships</w:t>
      </w:r>
      <w:r>
        <w:t xml:space="preserve">: Co-marketing with NYSE-listed firms for mutual client referrals (e.g., with EY's NYC advisory arm)</w:t>
      </w:r>
    </w:p>
    <w:bookmarkEnd w:id="29"/>
    <w:bookmarkEnd w:id="30"/>
    <w:bookmarkStart w:id="31" w:name="X16767e9b7601b4122915f0857dd6bb3f8d208f3"/>
    <w:p>
      <w:pPr>
        <w:pStyle w:val="Heading2"/>
      </w:pPr>
      <w:r>
        <w:t xml:space="preserve">Budget Allocation: United States New York City Focus</w:t>
      </w:r>
    </w:p>
    <w:p>
      <w:pPr>
        <w:pStyle w:val="FirstParagraph"/>
      </w:pPr>
      <w:r>
        <w:t xml:space="preserve">Total Year 1 Marketing Budget: $685,000 (7.3% of projected revenue). Allocation:</w:t>
      </w:r>
    </w:p>
    <w:p>
      <w:pPr>
        <w:numPr>
          <w:ilvl w:val="0"/>
          <w:numId w:val="1009"/>
        </w:numPr>
        <w:pStyle w:val="Compact"/>
      </w:pPr>
      <w:r>
        <w:t xml:space="preserve">NYC Events &amp; Sponsorships: 35% ($240k) – Covering events like NYC Tech Meetup and Wall Street Chamber dinners</w:t>
      </w:r>
    </w:p>
    <w:p>
      <w:pPr>
        <w:numPr>
          <w:ilvl w:val="0"/>
          <w:numId w:val="1009"/>
        </w:numPr>
        <w:pStyle w:val="Compact"/>
      </w:pPr>
      <w:r>
        <w:t xml:space="preserve">Digital Marketing: 28% ($192k) – Geo-targeted LinkedIn ads focusing on Manhattan zip codes (10001-10036)</w:t>
      </w:r>
    </w:p>
    <w:p>
      <w:pPr>
        <w:numPr>
          <w:ilvl w:val="0"/>
          <w:numId w:val="1009"/>
        </w:numPr>
        <w:pStyle w:val="Compact"/>
      </w:pPr>
      <w:r>
        <w:t xml:space="preserve">Content Development: 22% ($151k) – Producing NYC-specific compliance guides and video series</w:t>
      </w:r>
    </w:p>
    <w:p>
      <w:pPr>
        <w:numPr>
          <w:ilvl w:val="0"/>
          <w:numId w:val="1009"/>
        </w:numPr>
        <w:pStyle w:val="Compact"/>
      </w:pPr>
      <w:r>
        <w:t xml:space="preserve">PR &amp; Partnerships: 15% ($103k) – Securing placements in Crain's NYC and New York Times Business section</w:t>
      </w:r>
    </w:p>
    <w:bookmarkEnd w:id="31"/>
    <w:bookmarkStart w:id="32" w:name="X5f413296cf9b70e6e6b4f0ad1cca8133a579c53"/>
    <w:p>
      <w:pPr>
        <w:pStyle w:val="Heading2"/>
      </w:pPr>
      <w:r>
        <w:t xml:space="preserve">Measurement &amp; Evaluation: Data-Driven NYC Performance</w:t>
      </w:r>
    </w:p>
    <w:p>
      <w:pPr>
        <w:pStyle w:val="FirstParagraph"/>
      </w:pPr>
      <w:r>
        <w:t xml:space="preserve">We track KPIs specific to United States New York City operations:</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NYC Client Acquisition Cost</w:t>
      </w:r>
    </w:p>
    <w:p>
      <w:pPr>
        <w:pStyle w:val="BodyText"/>
      </w:pPr>
      <w:r>
        <w:t xml:space="preserve">&lt; $6,200</w:t>
      </w:r>
    </w:p>
    <w:p>
      <w:pPr>
        <w:pStyle w:val="BodyText"/>
      </w:pPr>
      <w:r>
        <w:t xml:space="preserve">CRM tracking of NYC lead sources</w:t>
      </w:r>
    </w:p>
    <w:p>
      <w:pPr>
        <w:pStyle w:val="BodyText"/>
      </w:pPr>
      <w:r>
        <w:t xml:space="preserve">*Industry average: $8,400*</w:t>
      </w:r>
    </w:p>
    <w:p>
      <w:pPr>
        <w:pStyle w:val="BodyText"/>
      </w:pPr>
      <w:r>
        <w:t xml:space="preserve">NYC Market Share Growth</w:t>
      </w:r>
    </w:p>
    <w:p>
      <w:pPr>
        <w:pStyle w:val="BodyText"/>
      </w:pPr>
      <w:r>
        <w:t xml:space="preserve">+3.5% QoQ</w:t>
      </w:r>
    </w:p>
    <w:p>
      <w:pPr>
        <w:pStyle w:val="BodyText"/>
      </w:pPr>
      <w:r>
        <w:t xml:space="preserve">NYC Department of Finance client database analysis</w:t>
      </w:r>
    </w:p>
    <w:p>
      <w:pPr>
        <w:pStyle w:val="BodyText"/>
      </w:pPr>
      <w:r>
        <w:t xml:space="preserve">Client Satisfaction (NPS)</w:t>
      </w:r>
    </w:p>
    <w:p>
      <w:pPr>
        <w:pStyle w:val="BodyText"/>
      </w:pPr>
      <w:r>
        <w:t xml:space="preserve">&gt; 72</w:t>
      </w:r>
    </w:p>
    <w:p>
      <w:pPr>
        <w:pStyle w:val="BodyText"/>
      </w:pPr>
      <w:r>
        <w:t xml:space="preserve">Post-audit NYC-specific survey via SMS/text</w:t>
      </w:r>
    </w:p>
    <w:bookmarkEnd w:id="32"/>
    <w:bookmarkStart w:id="33" w:name="X82f30a305a8bc7e19ed9ae6af487ce2fff0f73f"/>
    <w:p>
      <w:pPr>
        <w:pStyle w:val="Heading2"/>
      </w:pPr>
      <w:r>
        <w:t xml:space="preserve">Conclusion: The Unmatched NYC Auditor Advantage</w:t>
      </w:r>
    </w:p>
    <w:p>
      <w:pPr>
        <w:pStyle w:val="FirstParagraph"/>
      </w:pPr>
      <w:r>
        <w:t xml:space="preserve">This Marketing Plan establishes a clear path for our</w:t>
      </w:r>
      <w:r>
        <w:t xml:space="preserve"> </w:t>
      </w:r>
      <w:r>
        <w:rPr>
          <w:bCs/>
          <w:b/>
        </w:rPr>
        <w:t xml:space="preserve">Auditor</w:t>
      </w:r>
      <w:r>
        <w:t xml:space="preserve"> </w:t>
      </w:r>
      <w:r>
        <w:t xml:space="preserve">to become synonymous with regulatory excellence in United States New York City. By embedding our operations within the city's financial DNA—through physical presence in key boroughs, technology attuned to NYC's unique codes, and community integration—we transform audit services from a compliance necessity into a strategic growth asset for NYC businesses. The plan’s success will be measured not by industry benchmarks alone, but by our ability to reduce New York City-specific regulatory friction for 500+ businesses within three years. In the world of auditing where local knowledge equals competitive advantage, our NYC focus isn't just strategy—it's the entire foundation.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 Services for United States New York City</dc:title>
  <dc:creator/>
  <dc:language>en</dc:language>
  <cp:keywords/>
  <dcterms:created xsi:type="dcterms:W3CDTF">2025-12-10T01:08:16Z</dcterms:created>
  <dcterms:modified xsi:type="dcterms:W3CDTF">2025-12-10T01:08:16Z</dcterms:modified>
</cp:coreProperties>
</file>

<file path=docProps/custom.xml><?xml version="1.0" encoding="utf-8"?>
<Properties xmlns="http://schemas.openxmlformats.org/officeDocument/2006/custom-properties" xmlns:vt="http://schemas.openxmlformats.org/officeDocument/2006/docPropsVTypes"/>
</file>