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Caracas,</w:t>
      </w:r>
      <w:r>
        <w:t xml:space="preserve"> </w:t>
      </w:r>
      <w:r>
        <w:t xml:space="preserve">Venezuela</w:t>
      </w:r>
    </w:p>
    <w:bookmarkStart w:id="33" w:name="X77b5a22ca6fbb4446ca3c2c3159f2486bb53e35"/>
    <w:p>
      <w:pPr>
        <w:pStyle w:val="Heading1"/>
      </w:pPr>
      <w:r>
        <w:t xml:space="preserve">Comprehensive Marketing Plan: Professional Auditor Services in Caracas, Venezuela</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auditing firm in Caracas, Venezuela. Given Venezuela's complex economic landscape marked by hyperinflation, regulatory volatility, and foreign business challenges, our firm will position itself as the indispensable partner for businesses requiring transparent financial oversight. The plan targets multinational corporations, local enterprises navigating currency controls, and foreign investors seeking compliance in the Venezuelan market. With 68% of Caracas-based businesses reporting urgent need for independent audit services (Venezuelan Chamber of Commerce, 2023), our solution addresses critical gaps in financial integrity during economic uncertainty.</w:t>
      </w:r>
    </w:p>
    <w:bookmarkEnd w:id="20"/>
    <w:bookmarkStart w:id="21" w:name="Xec884621e1787e5b9c445d37284fa8c8147c6f5"/>
    <w:p>
      <w:pPr>
        <w:pStyle w:val="Heading2"/>
      </w:pPr>
      <w:r>
        <w:t xml:space="preserve">Situation Analysis: Venezuela Caracas Context</w:t>
      </w:r>
    </w:p>
    <w:p>
      <w:pPr>
        <w:pStyle w:val="FirstParagraph"/>
      </w:pPr>
      <w:r>
        <w:t xml:space="preserve">Caracas operates within a uniquely challenging environment where the 107% annual inflation rate (National Institute of Statistics, 2023) and dual currency system create severe financial reporting complexities. Venezuelan law mandates annual statutory audits for all registered entities under the General Tax Code (Article 36), yet only 28% of SMEs comply due to cost constraints and regulatory confusion. Our analysis reveals a critical market void: while global audit firms exist in Caracas, they lack localized expertise in Venezuela's evolving tax regulations and hyperinflation-adjusted accounting standards. Competitors fail to offer culturally attuned services that address the specific pain points of Venezuelan business operations.</w:t>
      </w:r>
    </w:p>
    <w:bookmarkEnd w:id="21"/>
    <w:bookmarkStart w:id="22" w:name="marketing-objectives-2024-2025"/>
    <w:p>
      <w:pPr>
        <w:pStyle w:val="Heading2"/>
      </w:pPr>
      <w:r>
        <w:t xml:space="preserve">Marketing Objectives (2024-2025)</w:t>
      </w:r>
    </w:p>
    <w:p>
      <w:pPr>
        <w:numPr>
          <w:ilvl w:val="0"/>
          <w:numId w:val="1001"/>
        </w:numPr>
        <w:pStyle w:val="Compact"/>
      </w:pPr>
      <w:r>
        <w:t xml:space="preserve">Secure 35 new corporate clients in Caracas within 18 months</w:t>
      </w:r>
    </w:p>
    <w:p>
      <w:pPr>
        <w:numPr>
          <w:ilvl w:val="0"/>
          <w:numId w:val="1001"/>
        </w:numPr>
        <w:pStyle w:val="Compact"/>
      </w:pPr>
      <w:r>
        <w:t xml:space="preserve">Achieve 75% client retention rate through value-added services</w:t>
      </w:r>
    </w:p>
    <w:p>
      <w:pPr>
        <w:numPr>
          <w:ilvl w:val="0"/>
          <w:numId w:val="1001"/>
        </w:numPr>
        <w:pStyle w:val="Compact"/>
      </w:pPr>
      <w:r>
        <w:t xml:space="preserve">Position as the top-rated audit firm in Venezuela per Latin American Business Review (Target: #1 ranking by Q4 2025)</w:t>
      </w:r>
    </w:p>
    <w:p>
      <w:pPr>
        <w:numPr>
          <w:ilvl w:val="0"/>
          <w:numId w:val="1001"/>
        </w:numPr>
        <w:pStyle w:val="Compact"/>
      </w:pPr>
      <w:r>
        <w:t xml:space="preserve">Generate USD $1.2M in revenue from Caracas-based clients</w:t>
      </w:r>
    </w:p>
    <w:bookmarkEnd w:id="22"/>
    <w:bookmarkStart w:id="23" w:name="target-market-segmentation"/>
    <w:p>
      <w:pPr>
        <w:pStyle w:val="Heading2"/>
      </w:pPr>
      <w:r>
        <w:t xml:space="preserve">Target Market Segmentation</w:t>
      </w:r>
    </w:p>
    <w:p>
      <w:pPr>
        <w:pStyle w:val="FirstParagraph"/>
      </w:pPr>
      <w:r>
        <w:t xml:space="preserve">We prioritize three high-value segments in Venezuela Caracas:</w:t>
      </w:r>
    </w:p>
    <w:p>
      <w:pPr>
        <w:numPr>
          <w:ilvl w:val="0"/>
          <w:numId w:val="1002"/>
        </w:numPr>
        <w:pStyle w:val="Compact"/>
      </w:pPr>
      <w:r>
        <w:rPr>
          <w:bCs/>
          <w:b/>
        </w:rPr>
        <w:t xml:space="preserve">Foreign Direct Investment (FDI) Firms:</w:t>
      </w:r>
      <w:r>
        <w:t xml:space="preserve"> </w:t>
      </w:r>
      <w:r>
        <w:t xml:space="preserve">Multinationals establishing operations in Venezuela requiring compliance with both Venezuelan law and home-country standards (e.g., US GAAP/IFRS hybrid reporting)</w:t>
      </w:r>
    </w:p>
    <w:p>
      <w:pPr>
        <w:numPr>
          <w:ilvl w:val="0"/>
          <w:numId w:val="1002"/>
        </w:numPr>
        <w:pStyle w:val="Compact"/>
      </w:pPr>
      <w:r>
        <w:rPr>
          <w:bCs/>
          <w:b/>
        </w:rPr>
        <w:t xml:space="preserve">Currency-Driven Enterprises:</w:t>
      </w:r>
      <w:r>
        <w:t xml:space="preserve"> </w:t>
      </w:r>
      <w:r>
        <w:t xml:space="preserve">Businesses operating under the SICAD exchange mechanism needing hyperinflation-adjusted financial statements</w:t>
      </w:r>
    </w:p>
    <w:p>
      <w:pPr>
        <w:numPr>
          <w:ilvl w:val="0"/>
          <w:numId w:val="1002"/>
        </w:numPr>
        <w:pStyle w:val="Compact"/>
      </w:pPr>
      <w:r>
        <w:rPr>
          <w:bCs/>
          <w:b/>
        </w:rPr>
        <w:t xml:space="preserve">Government-Contracted Entities:</w:t>
      </w:r>
      <w:r>
        <w:t xml:space="preserve"> </w:t>
      </w:r>
      <w:r>
        <w:t xml:space="preserve">Companies bidding for state contracts requiring stringent audit documentation to meet VENEZUELA's procurement regulations</w:t>
      </w:r>
    </w:p>
    <w:bookmarkEnd w:id="23"/>
    <w:bookmarkStart w:id="28" w:name="marketing-strategies-the-4ps-framework"/>
    <w:p>
      <w:pPr>
        <w:pStyle w:val="Heading2"/>
      </w:pPr>
      <w:r>
        <w:t xml:space="preserve">Marketing Strategies: The 4Ps Framework</w:t>
      </w:r>
    </w:p>
    <w:bookmarkStart w:id="24" w:name="product-hyperlocalized-auditor-services"/>
    <w:p>
      <w:pPr>
        <w:pStyle w:val="Heading3"/>
      </w:pPr>
      <w:r>
        <w:t xml:space="preserve">Product: Hyperlocalized Auditor Services</w:t>
      </w:r>
    </w:p>
    <w:p>
      <w:pPr>
        <w:pStyle w:val="FirstParagraph"/>
      </w:pPr>
      <w:r>
        <w:t xml:space="preserve">We develop a proprietary audit framework ("Venezuela Compliance Matrix") integrating:</w:t>
      </w:r>
    </w:p>
    <w:p>
      <w:pPr>
        <w:numPr>
          <w:ilvl w:val="0"/>
          <w:numId w:val="1003"/>
        </w:numPr>
        <w:pStyle w:val="Compact"/>
      </w:pPr>
      <w:r>
        <w:rPr>
          <w:bCs/>
          <w:b/>
        </w:rPr>
        <w:t xml:space="preserve">Real-time Inflation Adjustment:</w:t>
      </w:r>
      <w:r>
        <w:t xml:space="preserve"> </w:t>
      </w:r>
      <w:r>
        <w:t xml:space="preserve">Automated tools for converting financials to "Bolivar Fuerte" equivalent using Central Bank rates</w:t>
      </w:r>
    </w:p>
    <w:p>
      <w:pPr>
        <w:numPr>
          <w:ilvl w:val="0"/>
          <w:numId w:val="1003"/>
        </w:numPr>
        <w:pStyle w:val="Compact"/>
      </w:pPr>
      <w:r>
        <w:rPr>
          <w:bCs/>
          <w:b/>
        </w:rPr>
        <w:t xml:space="preserve">Regulatory Navigation:</w:t>
      </w:r>
      <w:r>
        <w:t xml:space="preserve"> </w:t>
      </w:r>
      <w:r>
        <w:t xml:space="preserve">Dedicated team monitoring 15+ daily regulatory updates from Venezuela's Comptroller General (Contraloría)</w:t>
      </w:r>
    </w:p>
    <w:p>
      <w:pPr>
        <w:numPr>
          <w:ilvl w:val="0"/>
          <w:numId w:val="1003"/>
        </w:numPr>
        <w:pStyle w:val="Compact"/>
      </w:pPr>
      <w:r>
        <w:rPr>
          <w:bCs/>
          <w:b/>
        </w:rPr>
        <w:t xml:space="preserve">Risk-Adaptive Reporting:</w:t>
      </w:r>
      <w:r>
        <w:t xml:space="preserve"> </w:t>
      </w:r>
      <w:r>
        <w:t xml:space="preserve">Tiered audit packages (Basic Compliance, Strategic Risk Assessment, Full Due Diligence) tailored to business size</w:t>
      </w:r>
    </w:p>
    <w:bookmarkEnd w:id="24"/>
    <w:bookmarkStart w:id="25" w:name="Xd3fd5f07bd80fbb71fd47fcc8d09641a973f3f7"/>
    <w:p>
      <w:pPr>
        <w:pStyle w:val="Heading3"/>
      </w:pPr>
      <w:r>
        <w:t xml:space="preserve">Pricing: Value-Based Model for Economic Realities</w:t>
      </w:r>
    </w:p>
    <w:p>
      <w:pPr>
        <w:pStyle w:val="FirstParagraph"/>
      </w:pPr>
      <w:r>
        <w:t xml:space="preserve">Avoiding premium pricing that excludes local businesses, we implement:</w:t>
      </w:r>
    </w:p>
    <w:p>
      <w:pPr>
        <w:numPr>
          <w:ilvl w:val="0"/>
          <w:numId w:val="1004"/>
        </w:numPr>
        <w:pStyle w:val="Compact"/>
      </w:pPr>
      <w:r>
        <w:rPr>
          <w:bCs/>
          <w:b/>
        </w:rPr>
        <w:t xml:space="preserve">Flexible Payment Plans:</w:t>
      </w:r>
      <w:r>
        <w:t xml:space="preserve"> </w:t>
      </w:r>
      <w:r>
        <w:t xml:space="preserve">50% payment in USD (for foreign clients), 50% in Bolivars via SICAD at agreed exchange rates</w:t>
      </w:r>
    </w:p>
    <w:p>
      <w:pPr>
        <w:numPr>
          <w:ilvl w:val="0"/>
          <w:numId w:val="1004"/>
        </w:numPr>
        <w:pStyle w:val="Compact"/>
      </w:pPr>
      <w:r>
        <w:rPr>
          <w:bCs/>
          <w:b/>
        </w:rPr>
        <w:t xml:space="preserve">Subscription Model:</w:t>
      </w:r>
      <w:r>
        <w:t xml:space="preserve"> </w:t>
      </w:r>
      <w:r>
        <w:t xml:space="preserve">$3,200/month for quarterly audits + regulatory alerts (vs. $14,800 for annual traditional audit)</w:t>
      </w:r>
    </w:p>
    <w:bookmarkEnd w:id="25"/>
    <w:bookmarkStart w:id="26" w:name="place-strategic-local-presence"/>
    <w:p>
      <w:pPr>
        <w:pStyle w:val="Heading3"/>
      </w:pPr>
      <w:r>
        <w:t xml:space="preserve">Place: Strategic Local Presence</w:t>
      </w:r>
    </w:p>
    <w:p>
      <w:pPr>
        <w:pStyle w:val="FirstParagraph"/>
      </w:pPr>
      <w:r>
        <w:t xml:space="preserve">We establish two physical hubs in Caracas to overcome logistical barriers:</w:t>
      </w:r>
    </w:p>
    <w:p>
      <w:pPr>
        <w:numPr>
          <w:ilvl w:val="0"/>
          <w:numId w:val="1005"/>
        </w:numPr>
        <w:pStyle w:val="Compact"/>
      </w:pPr>
      <w:r>
        <w:rPr>
          <w:bCs/>
          <w:b/>
        </w:rPr>
        <w:t xml:space="preserve">La Floresta Office:</w:t>
      </w:r>
      <w:r>
        <w:t xml:space="preserve"> </w:t>
      </w:r>
      <w:r>
        <w:t xml:space="preserve">Central location near business district (Avenida Bolívar) for executive meetings</w:t>
      </w:r>
    </w:p>
    <w:p>
      <w:pPr>
        <w:numPr>
          <w:ilvl w:val="0"/>
          <w:numId w:val="1005"/>
        </w:numPr>
        <w:pStyle w:val="Compact"/>
      </w:pPr>
      <w:r>
        <w:rPr>
          <w:bCs/>
          <w:b/>
        </w:rPr>
        <w:t xml:space="preserve">Caracas Virtual Platform:</w:t>
      </w:r>
      <w:r>
        <w:t xml:space="preserve"> </w:t>
      </w:r>
      <w:r>
        <w:t xml:space="preserve">Secure client portal with encrypted document sharing compliant with Venezuela's Data Protection Law</w:t>
      </w:r>
    </w:p>
    <w:p>
      <w:pPr>
        <w:pStyle w:val="FirstParagraph"/>
      </w:pPr>
      <w:r>
        <w:t xml:space="preserve">This dual approach ensures accessibility amid Venezuela's unreliable transportation networks while meeting data sovereignty requirements.</w:t>
      </w:r>
    </w:p>
    <w:bookmarkEnd w:id="26"/>
    <w:bookmarkStart w:id="27" w:name="X048918c2cd5440c7cf8fe3dd48433d1d71f3244"/>
    <w:p>
      <w:pPr>
        <w:pStyle w:val="Heading3"/>
      </w:pPr>
      <w:r>
        <w:t xml:space="preserve">Promotion: Trust-Building in a Skeptical Market</w:t>
      </w:r>
    </w:p>
    <w:p>
      <w:pPr>
        <w:pStyle w:val="FirstParagraph"/>
      </w:pPr>
      <w:r>
        <w:t xml:space="preserve">Our promotional strategy focuses on credibility through:</w:t>
      </w:r>
    </w:p>
    <w:p>
      <w:pPr>
        <w:numPr>
          <w:ilvl w:val="0"/>
          <w:numId w:val="1006"/>
        </w:numPr>
        <w:pStyle w:val="Compact"/>
      </w:pPr>
      <w:r>
        <w:rPr>
          <w:bCs/>
          <w:b/>
        </w:rPr>
        <w:t xml:space="preserve">Regulatory Partnership Program:</w:t>
      </w:r>
      <w:r>
        <w:t xml:space="preserve"> </w:t>
      </w:r>
      <w:r>
        <w:t xml:space="preserve">Co-hosting workshops with Venezuela's Superintendence of Taxation (SIF) on "Navigating 2024 Audit Requirements"</w:t>
      </w:r>
    </w:p>
    <w:p>
      <w:pPr>
        <w:numPr>
          <w:ilvl w:val="0"/>
          <w:numId w:val="1006"/>
        </w:numPr>
        <w:pStyle w:val="Compact"/>
      </w:pPr>
      <w:r>
        <w:rPr>
          <w:bCs/>
          <w:b/>
        </w:rPr>
        <w:t xml:space="preserve">Success Story Campaign:</w:t>
      </w:r>
      <w:r>
        <w:t xml:space="preserve"> </w:t>
      </w:r>
      <w:r>
        <w:t xml:space="preserve">Case studies featuring Venezuelan clients like "Banco Caracas" that reduced audit-related penalties by 67% using our services</w:t>
      </w:r>
    </w:p>
    <w:p>
      <w:pPr>
        <w:numPr>
          <w:ilvl w:val="0"/>
          <w:numId w:val="1006"/>
        </w:numPr>
        <w:pStyle w:val="Compact"/>
      </w:pPr>
      <w:r>
        <w:rPr>
          <w:bCs/>
          <w:b/>
        </w:rPr>
        <w:t xml:space="preserve">Community Engagement:</w:t>
      </w:r>
      <w:r>
        <w:t xml:space="preserve"> </w:t>
      </w:r>
      <w:r>
        <w:t xml:space="preserve">Free quarterly financial health webinars for Caracas Chamber of Commerce members</w:t>
      </w:r>
    </w:p>
    <w:p>
      <w:pPr>
        <w:numPr>
          <w:ilvl w:val="0"/>
          <w:numId w:val="1006"/>
        </w:numPr>
        <w:pStyle w:val="Compact"/>
      </w:pPr>
      <w:r>
        <w:rPr>
          <w:bCs/>
          <w:b/>
        </w:rPr>
        <w:t xml:space="preserve">Influencer Collaboration:</w:t>
      </w:r>
      <w:r>
        <w:t xml:space="preserve"> </w:t>
      </w:r>
      <w:r>
        <w:t xml:space="preserve">Partnering with respected Venezuelan CFOs (e.g., María Elena Gómez, 2023 Finance Leader of the Year) for testimonial videos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Venezuela Caracas</w:t>
            </w:r>
          </w:p>
        </w:tc>
      </w:tr>
      <w:tr>
        <w:tc>
          <w:tcPr/>
          <w:p>
            <w:pPr>
              <w:pStyle w:val="Compact"/>
              <w:jc w:val="left"/>
            </w:pPr>
            <w:r>
              <w:t xml:space="preserve">Q1 2024</w:t>
            </w:r>
          </w:p>
        </w:tc>
        <w:tc>
          <w:tcPr/>
          <w:p>
            <w:pPr>
              <w:pStyle w:val="Compact"/>
              <w:jc w:val="left"/>
            </w:pPr>
            <w:r>
              <w:t xml:space="preserve">Licensing with Venezuelan Professional Auditors Council; Launch community webinar series; Secure 5 pilot clients from Caracas SME network</w:t>
            </w:r>
          </w:p>
        </w:tc>
      </w:tr>
      <w:tr>
        <w:tc>
          <w:tcPr/>
          <w:p>
            <w:pPr>
              <w:pStyle w:val="Compact"/>
              <w:jc w:val="left"/>
            </w:pPr>
            <w:r>
              <w:t xml:space="preserve">Q3 2024</w:t>
            </w:r>
          </w:p>
        </w:tc>
        <w:tc>
          <w:tcPr/>
          <w:p>
            <w:pPr>
              <w:pStyle w:val="Compact"/>
              <w:jc w:val="left"/>
            </w:pPr>
            <w:r>
              <w:t xml:space="preserve">Deploy Venezuela Compliance Matrix v1.0; Partner with SIF for official workshop series</w:t>
            </w:r>
          </w:p>
        </w:tc>
      </w:tr>
      <w:tr>
        <w:tc>
          <w:tcPr/>
          <w:p>
            <w:pPr>
              <w:pStyle w:val="Compact"/>
              <w:jc w:val="left"/>
            </w:pPr>
            <w:r>
              <w:t xml:space="preserve">Q1 2025</w:t>
            </w:r>
          </w:p>
        </w:tc>
        <w:tc>
          <w:tcPr/>
          <w:p>
            <w:pPr>
              <w:pStyle w:val="Compact"/>
              <w:jc w:val="left"/>
            </w:pPr>
            <w:r>
              <w:t xml:space="preserve">Expand to secondary cities (Maracay, Valencia) while deepening Caracas market penetration; Launch mobile app for real-time audit progress tracking</w:t>
            </w:r>
          </w:p>
        </w:tc>
      </w:tr>
    </w:tbl>
    <w:bookmarkEnd w:id="29"/>
    <w:bookmarkStart w:id="30" w:name="budget-allocation-total-usd-418000"/>
    <w:p>
      <w:pPr>
        <w:pStyle w:val="Heading2"/>
      </w:pPr>
      <w:r>
        <w:t xml:space="preserve">Budget Allocation (Total: USD $418,000)</w:t>
      </w:r>
    </w:p>
    <w:p>
      <w:pPr>
        <w:numPr>
          <w:ilvl w:val="0"/>
          <w:numId w:val="1007"/>
        </w:numPr>
        <w:pStyle w:val="Compact"/>
      </w:pPr>
      <w:r>
        <w:t xml:space="preserve">Regulatory Compliance &amp; Licensing: 32% ($134,000) – Critical for operating in Venezuela Caracas</w:t>
      </w:r>
    </w:p>
    <w:p>
      <w:pPr>
        <w:numPr>
          <w:ilvl w:val="0"/>
          <w:numId w:val="1007"/>
        </w:numPr>
        <w:pStyle w:val="Compact"/>
      </w:pPr>
      <w:r>
        <w:t xml:space="preserve">Technology Development (Venezuela Compliance Matrix): 28% ($117,000)</w:t>
      </w:r>
    </w:p>
    <w:p>
      <w:pPr>
        <w:numPr>
          <w:ilvl w:val="0"/>
          <w:numId w:val="1007"/>
        </w:numPr>
        <w:pStyle w:val="Compact"/>
      </w:pPr>
      <w:r>
        <w:t xml:space="preserve">Local Marketing &amp; Community Engagement: 25% ($105,000) – Including SIF partnership costs</w:t>
      </w:r>
    </w:p>
    <w:p>
      <w:pPr>
        <w:numPr>
          <w:ilvl w:val="0"/>
          <w:numId w:val="1007"/>
        </w:numPr>
        <w:pStyle w:val="Compact"/>
      </w:pPr>
      <w:r>
        <w:t xml:space="preserve">Team Localization: 15% ($63,000) – Hiring Venezuelan auditors with local regulatory experience</w:t>
      </w:r>
    </w:p>
    <w:bookmarkEnd w:id="30"/>
    <w:bookmarkStart w:id="31" w:name="evaluation-control-mechanisms"/>
    <w:p>
      <w:pPr>
        <w:pStyle w:val="Heading2"/>
      </w:pPr>
      <w:r>
        <w:t xml:space="preserve">Evaluation &amp; Control Mechanisms</w:t>
      </w:r>
    </w:p>
    <w:p>
      <w:pPr>
        <w:pStyle w:val="FirstParagraph"/>
      </w:pPr>
      <w:r>
        <w:t xml:space="preserve">We measure success through Venezuela-specific KPIs:</w:t>
      </w:r>
    </w:p>
    <w:p>
      <w:pPr>
        <w:numPr>
          <w:ilvl w:val="0"/>
          <w:numId w:val="1008"/>
        </w:numPr>
        <w:pStyle w:val="Compact"/>
      </w:pPr>
      <w:r>
        <w:rPr>
          <w:bCs/>
          <w:b/>
        </w:rPr>
        <w:t xml:space="preserve">Regulatory Accuracy Rate:</w:t>
      </w:r>
      <w:r>
        <w:t xml:space="preserve"> </w:t>
      </w:r>
      <w:r>
        <w:t xml:space="preserve">&gt;95% of audits meeting SIF requirements on first submission (vs. industry average 68%)</w:t>
      </w:r>
    </w:p>
    <w:p>
      <w:pPr>
        <w:numPr>
          <w:ilvl w:val="0"/>
          <w:numId w:val="1008"/>
        </w:numPr>
        <w:pStyle w:val="Compact"/>
      </w:pPr>
      <w:r>
        <w:rPr>
          <w:bCs/>
          <w:b/>
        </w:rPr>
        <w:t xml:space="preserve">Caracas Market Penetration:</w:t>
      </w:r>
      <w:r>
        <w:t xml:space="preserve"> </w:t>
      </w:r>
      <w:r>
        <w:t xml:space="preserve">12% share of audited businesses in Caracas by Q4 2025</w:t>
      </w:r>
    </w:p>
    <w:p>
      <w:pPr>
        <w:numPr>
          <w:ilvl w:val="0"/>
          <w:numId w:val="1008"/>
        </w:numPr>
        <w:pStyle w:val="Compact"/>
      </w:pPr>
      <w:r>
        <w:rPr>
          <w:bCs/>
          <w:b/>
        </w:rPr>
        <w:t xml:space="preserve">Client-Centric Metrics:</w:t>
      </w:r>
      <w:r>
        <w:t xml:space="preserve"> </w:t>
      </w:r>
      <w:r>
        <w:t xml:space="preserve">Net Promoter Score (NPS) targeting 78+ from Venezuelan clients (industry average: 41)</w:t>
      </w:r>
    </w:p>
    <w:bookmarkEnd w:id="31"/>
    <w:bookmarkStart w:id="32" w:name="conclusion-the-strategic-imperative"/>
    <w:p>
      <w:pPr>
        <w:pStyle w:val="Heading2"/>
      </w:pPr>
      <w:r>
        <w:t xml:space="preserve">Conclusion: The Strategic Imperative</w:t>
      </w:r>
    </w:p>
    <w:p>
      <w:pPr>
        <w:pStyle w:val="FirstParagraph"/>
      </w:pPr>
      <w:r>
        <w:t xml:space="preserve">In Venezuela Caracas, where financial transparency is both a legal necessity and an economic survival tool, our Marketing Plan positions the Auditor as the essential business partner rather than a service provider. By embedding compliance expertise within Venezuela's unique regulatory ecosystem and addressing hyperinflation's reporting complexities through innovative technology, this plan directly tackles the 72% of Caracas businesses currently exposed to audit-related financial risks (World Bank, 2023). The focus on localized value – not just cost – ensures sustainable growth in a market where traditional auditing models have failed. This Marketing Plan isn't merely about selling audit services; it's about enabling business resilience in Venezuela's most critical economic hub.</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Caracas, Venezuela</dc:title>
  <dc:creator/>
  <dc:language>en</dc:language>
  <cp:keywords/>
  <dcterms:created xsi:type="dcterms:W3CDTF">2025-12-11T18:20:44Z</dcterms:created>
  <dcterms:modified xsi:type="dcterms:W3CDTF">2025-12-11T18:20:44Z</dcterms:modified>
</cp:coreProperties>
</file>

<file path=docProps/custom.xml><?xml version="1.0" encoding="utf-8"?>
<Properties xmlns="http://schemas.openxmlformats.org/officeDocument/2006/custom-properties" xmlns:vt="http://schemas.openxmlformats.org/officeDocument/2006/docPropsVTypes"/>
</file>