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2" w:name="X0e0c9cb4f8feffe0e5c7e1d0d34c03fe782f7b0"/>
    <w:p>
      <w:pPr>
        <w:pStyle w:val="Heading1"/>
      </w:pPr>
      <w:r>
        <w:t xml:space="preserve">Comprehensive Marketing Plan: Elevating Auditor Excellence in Vietnam Ho Chi Minh City</w:t>
      </w:r>
    </w:p>
    <w:bookmarkStart w:id="20" w:name="executive-summary"/>
    <w:p>
      <w:pPr>
        <w:pStyle w:val="Heading2"/>
      </w:pPr>
      <w:r>
        <w:t xml:space="preserve">Executive Summary</w:t>
      </w:r>
    </w:p>
    <w:p>
      <w:pPr>
        <w:pStyle w:val="FirstParagraph"/>
      </w:pPr>
      <w:r>
        <w:t xml:space="preserve">This Marketing Plan outlines a strategic framework for establishing and scaling premium Auditor services within the dynamic business landscape of Vietnam Ho Chi Minh City. As the economic hub of Southeast Asia, Ho Chi Minh City demands rigorous financial oversight to support its explosive growth in manufacturing, trade, and foreign investment. Our plan targets multinational corporations (MNCs), local conglomerates, and emerging startups requiring compliant, tech-driven auditing solutions. By positioning our firm as the premier Auditor partner in Vietnam Ho Chi Minh City—combining deep local expertise with international standards—we aim to capture 15% market share within three years while driving sustainable revenue growth. This plan integrates cultural intelligence, regulatory navigation, and digital innovation to address critical gaps in the Vietnamese audit market.</w:t>
      </w:r>
    </w:p>
    <w:bookmarkEnd w:id="20"/>
    <w:bookmarkStart w:id="21" w:name="X13536a44955fef2f43811993c2a1e40d84aef18"/>
    <w:p>
      <w:pPr>
        <w:pStyle w:val="Heading2"/>
      </w:pPr>
      <w:r>
        <w:t xml:space="preserve">Market Analysis: Vietnam Ho Chi Minh City Context</w:t>
      </w:r>
    </w:p>
    <w:p>
      <w:pPr>
        <w:pStyle w:val="FirstParagraph"/>
      </w:pPr>
      <w:r>
        <w:t xml:space="preserve">Ho Chi Minh City represents 23% of Vietnam's GDP and hosts over 60% of the nation's foreign direct investment (FDI). The city’s business environment is characterized by rapid digital transformation, evolving accounting standards (aligning with IFRS), and heightened regulatory scrutiny post-Vietnam’s WTO integration. However, a significant gap exists between international audit expectations and local service capabilities. According to the Vietnam Chamber of Commerce, 68% of MNCs operating in Ho Chi Minh City have faced audit delays due to inconsistent local practices. This creates an urgent opportunity for a forward-thinking Auditor specializing in Vietnam Ho Chi Minh City’s unique ecosystem. Competitors often lack integrated digital tools or deep cultural fluency, positioning our firm to lead with a hybrid model blending global best practices and hyperlocal market insight.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Multinational Corporations (MNCs):</w:t>
      </w:r>
      <w:r>
        <w:t xml:space="preserve"> </w:t>
      </w:r>
      <w:r>
        <w:t xml:space="preserve">Firms with Vietnam operations requiring compliance with both local regulations (e.g., Circular 133/2017/TT-BTC) and international frameworks. Example: Tech giants expanding manufacturing in Ho Chi Minh City’s industrial zones.</w:t>
      </w:r>
    </w:p>
    <w:p>
      <w:pPr>
        <w:numPr>
          <w:ilvl w:val="0"/>
          <w:numId w:val="1001"/>
        </w:numPr>
        <w:pStyle w:val="Compact"/>
      </w:pPr>
      <w:r>
        <w:rPr>
          <w:bCs/>
          <w:b/>
        </w:rPr>
        <w:t xml:space="preserve">Vietnamese Conglomerates:</w:t>
      </w:r>
      <w:r>
        <w:t xml:space="preserve"> </w:t>
      </w:r>
      <w:r>
        <w:t xml:space="preserve">Family-owned businesses navigating IPO preparations or cross-border acquisitions, demanding credible Auditor services to attract investors.</w:t>
      </w:r>
    </w:p>
    <w:p>
      <w:pPr>
        <w:numPr>
          <w:ilvl w:val="0"/>
          <w:numId w:val="1001"/>
        </w:numPr>
        <w:pStyle w:val="Compact"/>
      </w:pPr>
      <w:r>
        <w:rPr>
          <w:bCs/>
          <w:b/>
        </w:rPr>
        <w:t xml:space="preserve">Startups &amp; Scale-ups:</w:t>
      </w:r>
      <w:r>
        <w:t xml:space="preserve"> </w:t>
      </w:r>
      <w:r>
        <w:t xml:space="preserve">Fast-growing tech and e-commerce ventures in Ho Chi Minh City’s startup hubs (e.g., Saigon Innovation Hub) needing affordable, efficient audit solutions for funding rounds.</w:t>
      </w:r>
    </w:p>
    <w:bookmarkEnd w:id="22"/>
    <w:bookmarkStart w:id="23" w:name="marketing-objectives"/>
    <w:p>
      <w:pPr>
        <w:pStyle w:val="Heading2"/>
      </w:pPr>
      <w:r>
        <w:t xml:space="preserve">Marketing Objectives</w:t>
      </w:r>
    </w:p>
    <w:p>
      <w:pPr>
        <w:numPr>
          <w:ilvl w:val="0"/>
          <w:numId w:val="1002"/>
        </w:numPr>
        <w:pStyle w:val="Compact"/>
      </w:pPr>
      <w:r>
        <w:rPr>
          <w:bCs/>
          <w:b/>
        </w:rPr>
        <w:t xml:space="preserve">Brand Positioning:</w:t>
      </w:r>
      <w:r>
        <w:t xml:space="preserve"> </w:t>
      </w:r>
      <w:r>
        <w:t xml:space="preserve">Become the most trusted Auditor brand in Vietnam Ho Chi Minh City by 2026, recognized for compliance precision and cultural intelligence.</w:t>
      </w:r>
    </w:p>
    <w:p>
      <w:pPr>
        <w:numPr>
          <w:ilvl w:val="0"/>
          <w:numId w:val="1002"/>
        </w:numPr>
        <w:pStyle w:val="Compact"/>
      </w:pPr>
      <w:r>
        <w:rPr>
          <w:bCs/>
          <w:b/>
        </w:rPr>
        <w:t xml:space="preserve">Market Penetration:</w:t>
      </w:r>
      <w:r>
        <w:t xml:space="preserve"> </w:t>
      </w:r>
      <w:r>
        <w:t xml:space="preserve">Acquire 50+ corporate clients within Year 1, including 15 MNCs and 35 local enterprises.</w:t>
      </w:r>
    </w:p>
    <w:p>
      <w:pPr>
        <w:numPr>
          <w:ilvl w:val="0"/>
          <w:numId w:val="1002"/>
        </w:numPr>
        <w:pStyle w:val="Compact"/>
      </w:pPr>
      <w:r>
        <w:rPr>
          <w:bCs/>
          <w:b/>
        </w:rPr>
        <w:t xml:space="preserve">Digital Adoption:</w:t>
      </w:r>
      <w:r>
        <w:t xml:space="preserve"> </w:t>
      </w:r>
      <w:r>
        <w:t xml:space="preserve">Achieve 80% of audit processes digitized by Year 2 through proprietary tools tailored for Ho Chi Minh City’s business workflows.</w:t>
      </w:r>
    </w:p>
    <w:bookmarkEnd w:id="23"/>
    <w:bookmarkStart w:id="28" w:name="core-marketing-strategies"/>
    <w:p>
      <w:pPr>
        <w:pStyle w:val="Heading2"/>
      </w:pPr>
      <w:r>
        <w:t xml:space="preserve">Core Marketing Strategies</w:t>
      </w:r>
    </w:p>
    <w:bookmarkStart w:id="24" w:name="X5ef1e56b031868bf74736d1c70bbe1344ead4e4"/>
    <w:p>
      <w:pPr>
        <w:pStyle w:val="Heading3"/>
      </w:pPr>
      <w:r>
        <w:t xml:space="preserve">1. Product Differentiation: The Vietnam-Ready Auditor Model</w:t>
      </w:r>
    </w:p>
    <w:p>
      <w:pPr>
        <w:pStyle w:val="FirstParagraph"/>
      </w:pPr>
      <w:r>
        <w:t xml:space="preserve">We move beyond traditional auditing by embedding Vietnam-specific value:</w:t>
      </w:r>
    </w:p>
    <w:p>
      <w:pPr>
        <w:numPr>
          <w:ilvl w:val="0"/>
          <w:numId w:val="1003"/>
        </w:numPr>
        <w:pStyle w:val="Compact"/>
      </w:pPr>
      <w:r>
        <w:rPr>
          <w:bCs/>
          <w:b/>
        </w:rPr>
        <w:t xml:space="preserve">Cultural Integration:</w:t>
      </w:r>
      <w:r>
        <w:t xml:space="preserve"> </w:t>
      </w:r>
      <w:r>
        <w:t xml:space="preserve">All Auditors undergo mandatory immersion in Ho Chi Minh City’s business customs (e.g., relationship-building protocols, local tax nuances).</w:t>
      </w:r>
    </w:p>
    <w:p>
      <w:pPr>
        <w:numPr>
          <w:ilvl w:val="0"/>
          <w:numId w:val="1003"/>
        </w:numPr>
        <w:pStyle w:val="Compact"/>
      </w:pPr>
      <w:r>
        <w:rPr>
          <w:bCs/>
          <w:b/>
        </w:rPr>
        <w:t xml:space="preserve">Technology Stack:</w:t>
      </w:r>
      <w:r>
        <w:t xml:space="preserve"> </w:t>
      </w:r>
      <w:r>
        <w:t xml:space="preserve">Customized AI-driven platform analyzing Vietnam’s e-invoicing system (VNPT) and GST data in real-time—critical for Ho Chi Minh City enterprises operating under new digital tax regulations.</w:t>
      </w:r>
    </w:p>
    <w:p>
      <w:pPr>
        <w:numPr>
          <w:ilvl w:val="0"/>
          <w:numId w:val="1003"/>
        </w:numPr>
        <w:pStyle w:val="Compact"/>
      </w:pPr>
      <w:r>
        <w:rPr>
          <w:bCs/>
          <w:b/>
        </w:rPr>
        <w:t xml:space="preserve">Risk-Adaptive Auditing:</w:t>
      </w:r>
      <w:r>
        <w:t xml:space="preserve"> </w:t>
      </w:r>
      <w:r>
        <w:t xml:space="preserve">Specialized modules for high-risk sectors dominant in Ho Chi Minh City: footwear manufacturing, FDI-driven supply chains, and fintech startups.</w:t>
      </w:r>
    </w:p>
    <w:bookmarkEnd w:id="24"/>
    <w:bookmarkStart w:id="25" w:name="price-strategy-value-based-tiering"/>
    <w:p>
      <w:pPr>
        <w:pStyle w:val="Heading3"/>
      </w:pPr>
      <w:r>
        <w:t xml:space="preserve">2. Price Strategy: Value-Based Tiering</w:t>
      </w:r>
    </w:p>
    <w:p>
      <w:pPr>
        <w:pStyle w:val="FirstParagraph"/>
      </w:pPr>
      <w:r>
        <w:t xml:space="preserve">Avoiding race-to-the-bottom pricing, we implement tiered offerings aligned with Ho Chi Minh City’s market expectations:</w:t>
      </w:r>
    </w:p>
    <w:p>
      <w:pPr>
        <w:numPr>
          <w:ilvl w:val="0"/>
          <w:numId w:val="1004"/>
        </w:numPr>
        <w:pStyle w:val="Compact"/>
      </w:pPr>
      <w:r>
        <w:rPr>
          <w:bCs/>
          <w:b/>
        </w:rPr>
        <w:t xml:space="preserve">Essential Audit (VND 45–70 million):</w:t>
      </w:r>
      <w:r>
        <w:t xml:space="preserve"> </w:t>
      </w:r>
      <w:r>
        <w:t xml:space="preserve">For SMEs needing basic compliance; includes digital reporting via Vietnam’s National Tax Portal.</w:t>
      </w:r>
    </w:p>
    <w:p>
      <w:pPr>
        <w:numPr>
          <w:ilvl w:val="0"/>
          <w:numId w:val="1004"/>
        </w:numPr>
        <w:pStyle w:val="Compact"/>
      </w:pPr>
      <w:r>
        <w:rPr>
          <w:bCs/>
          <w:b/>
        </w:rPr>
        <w:t xml:space="preserve">Strategic Audit Suite (VND 350+ million):</w:t>
      </w:r>
      <w:r>
        <w:t xml:space="preserve"> </w:t>
      </w:r>
      <w:r>
        <w:t xml:space="preserve">End-to-end solution for IPO-bound firms, incorporating Vietnamese legal due diligence and ESG compliance.</w:t>
      </w:r>
    </w:p>
    <w:bookmarkEnd w:id="25"/>
    <w:bookmarkStart w:id="26" w:name="place-distribution-hyperlocal-presence"/>
    <w:p>
      <w:pPr>
        <w:pStyle w:val="Heading3"/>
      </w:pPr>
      <w:r>
        <w:t xml:space="preserve">3. Place &amp; Distribution: Hyperlocal Presence</w:t>
      </w:r>
    </w:p>
    <w:p>
      <w:pPr>
        <w:pStyle w:val="FirstParagraph"/>
      </w:pPr>
      <w:r>
        <w:t xml:space="preserve">We establish a physical hub in Ho Chi Minh City’s District 1 (financial district) while leveraging digital channels:</w:t>
      </w:r>
    </w:p>
    <w:p>
      <w:pPr>
        <w:numPr>
          <w:ilvl w:val="0"/>
          <w:numId w:val="1005"/>
        </w:numPr>
        <w:pStyle w:val="Compact"/>
      </w:pPr>
      <w:r>
        <w:rPr>
          <w:bCs/>
          <w:b/>
        </w:rPr>
        <w:t xml:space="preserve">On-Ground Teams:</w:t>
      </w:r>
      <w:r>
        <w:t xml:space="preserve"> </w:t>
      </w:r>
      <w:r>
        <w:t xml:space="preserve">10+ local Auditors embedded across key business zones (e.g., Saigon Hi-Tech Park, Tan Binh District) for rapid on-site support.</w:t>
      </w:r>
    </w:p>
    <w:p>
      <w:pPr>
        <w:numPr>
          <w:ilvl w:val="0"/>
          <w:numId w:val="1005"/>
        </w:numPr>
        <w:pStyle w:val="Compact"/>
      </w:pPr>
      <w:r>
        <w:rPr>
          <w:bCs/>
          <w:b/>
        </w:rPr>
        <w:t xml:space="preserve">Digital Ecosystem:</w:t>
      </w:r>
      <w:r>
        <w:t xml:space="preserve"> </w:t>
      </w:r>
      <w:r>
        <w:t xml:space="preserve">Seamless integration with Vietnam’s national digital platforms (VnEdu, VNPT Cloud) to streamline audit data submission—addressing Ho Chi Minh City’s push for paperless governance.</w:t>
      </w:r>
    </w:p>
    <w:bookmarkEnd w:id="26"/>
    <w:bookmarkStart w:id="27" w:name="promotion-culturally-fluent-campaigns"/>
    <w:p>
      <w:pPr>
        <w:pStyle w:val="Heading3"/>
      </w:pPr>
      <w:r>
        <w:t xml:space="preserve">4. Promotion: Culturally Fluent Campaigns</w:t>
      </w:r>
    </w:p>
    <w:p>
      <w:pPr>
        <w:pStyle w:val="FirstParagraph"/>
      </w:pPr>
      <w:r>
        <w:t xml:space="preserve">Our communication blends global credibility with Vietnamese context:</w:t>
      </w:r>
    </w:p>
    <w:p>
      <w:pPr>
        <w:numPr>
          <w:ilvl w:val="0"/>
          <w:numId w:val="1006"/>
        </w:numPr>
        <w:pStyle w:val="Compact"/>
      </w:pPr>
      <w:r>
        <w:rPr>
          <w:bCs/>
          <w:b/>
        </w:rPr>
        <w:t xml:space="preserve">Thought Leadership:</w:t>
      </w:r>
      <w:r>
        <w:t xml:space="preserve"> </w:t>
      </w:r>
      <w:r>
        <w:t xml:space="preserve">Publish "Ho Chi Minh City Business Compliance Alerts" newsletter (translated into Vietnamese) addressing real-time regulatory shifts.</w:t>
      </w:r>
    </w:p>
    <w:p>
      <w:pPr>
        <w:numPr>
          <w:ilvl w:val="0"/>
          <w:numId w:val="1006"/>
        </w:numPr>
        <w:pStyle w:val="Compact"/>
      </w:pPr>
      <w:r>
        <w:rPr>
          <w:bCs/>
          <w:b/>
        </w:rPr>
        <w:t xml:space="preserve">Community Engagement:</w:t>
      </w:r>
      <w:r>
        <w:t xml:space="preserve"> </w:t>
      </w:r>
      <w:r>
        <w:t xml:space="preserve">Sponsor Vietnam Chamber of Commerce events in Ho Chi Minh City and host free workshops on IFRS adoption for local firms.</w:t>
      </w:r>
    </w:p>
    <w:p>
      <w:pPr>
        <w:numPr>
          <w:ilvl w:val="0"/>
          <w:numId w:val="1006"/>
        </w:numPr>
        <w:pStyle w:val="Compact"/>
      </w:pPr>
      <w:r>
        <w:rPr>
          <w:bCs/>
          <w:b/>
        </w:rPr>
        <w:t xml:space="preserve">Referral Engine:</w:t>
      </w:r>
      <w:r>
        <w:t xml:space="preserve"> </w:t>
      </w:r>
      <w:r>
        <w:t xml:space="preserve">Incentivize current clients (especially MNCs) to refer startups via a "Partner Success Program," leveraging Ho Chi Minh City’s tight-knit business networks.</w:t>
      </w:r>
    </w:p>
    <w:bookmarkEnd w:id="27"/>
    <w:bookmarkEnd w:id="28"/>
    <w:bookmarkStart w:id="29" w:name="budget-allocation"/>
    <w:p>
      <w:pPr>
        <w:pStyle w:val="Heading2"/>
      </w:pPr>
      <w:r>
        <w:t xml:space="preserve">Budget Allocation</w:t>
      </w:r>
    </w:p>
    <w:p>
      <w:pPr>
        <w:pStyle w:val="FirstParagraph"/>
      </w:pPr>
      <w:r>
        <w:t xml:space="preserve">Total Year 1 Budget: $350,000 (USD)</w:t>
      </w:r>
    </w:p>
    <w:p>
      <w:pPr>
        <w:numPr>
          <w:ilvl w:val="0"/>
          <w:numId w:val="1007"/>
        </w:numPr>
        <w:pStyle w:val="Compact"/>
      </w:pPr>
      <w:r>
        <w:t xml:space="preserve">Marketing Content &amp; Events: 45% ($157,500) – Including bilingual workshops and HCMC-based event sponsorships.</w:t>
      </w:r>
    </w:p>
    <w:p>
      <w:pPr>
        <w:numPr>
          <w:ilvl w:val="0"/>
          <w:numId w:val="1007"/>
        </w:numPr>
        <w:pStyle w:val="Compact"/>
      </w:pPr>
      <w:r>
        <w:t xml:space="preserve">Technology Development: 35% ($122,500) – Customizing AI tools for Vietnam’s tax systems.</w:t>
      </w:r>
    </w:p>
    <w:p>
      <w:pPr>
        <w:numPr>
          <w:ilvl w:val="0"/>
          <w:numId w:val="1007"/>
        </w:numPr>
        <w:pStyle w:val="Compact"/>
      </w:pPr>
      <w:r>
        <w:t xml:space="preserve">Digital Advertising: 15% ($52,500) – Targeted LinkedIn/Google Ads for Ho Chi Minh City executives using Vietnamese keywords.</w:t>
      </w:r>
    </w:p>
    <w:p>
      <w:pPr>
        <w:numPr>
          <w:ilvl w:val="0"/>
          <w:numId w:val="1007"/>
        </w:numPr>
        <w:pStyle w:val="Compact"/>
      </w:pPr>
      <w:r>
        <w:t xml:space="preserve">Team Training: 5% ($17,500) – Cultural immersion for Auditors in Vietnam’s business practices.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in Ho Chi Minh City; hire 5 local Auditors; launch pilot with 3 MNCs.</w:t>
            </w:r>
          </w:p>
        </w:tc>
      </w:tr>
      <w:tr>
        <w:tc>
          <w:tcPr/>
          <w:p>
            <w:pPr>
              <w:pStyle w:val="Compact"/>
              <w:jc w:val="left"/>
            </w:pPr>
            <w:r>
              <w:t xml:space="preserve">Q2 2024</w:t>
            </w:r>
          </w:p>
        </w:tc>
        <w:tc>
          <w:tcPr/>
          <w:p>
            <w:pPr>
              <w:pStyle w:val="Compact"/>
              <w:jc w:val="left"/>
            </w:pPr>
            <w:r>
              <w:t xml:space="preserve">Deploy digital audit platform; sponsor Vietnam Chamber of Commerce event in HCMC.</w:t>
            </w:r>
          </w:p>
        </w:tc>
      </w:tr>
      <w:tr>
        <w:tc>
          <w:tcPr/>
          <w:p>
            <w:pPr>
              <w:pStyle w:val="Compact"/>
              <w:jc w:val="left"/>
            </w:pPr>
            <w:r>
              <w:t xml:space="preserve">Q3 2024</w:t>
            </w:r>
          </w:p>
        </w:tc>
        <w:tc>
          <w:tcPr/>
          <w:p>
            <w:pPr>
              <w:pStyle w:val="Compact"/>
              <w:jc w:val="left"/>
            </w:pPr>
            <w:r>
              <w:t xml:space="preserve">Secure 15 new clients (8 MNCs, 7 local firms); publish first compliance guide for Ho Chi Minh City businesses.</w:t>
            </w:r>
          </w:p>
        </w:tc>
      </w:tr>
      <w:tr>
        <w:tc>
          <w:tcPr/>
          <w:p>
            <w:pPr>
              <w:pStyle w:val="Compact"/>
              <w:jc w:val="left"/>
            </w:pPr>
            <w:r>
              <w:t xml:space="preserve">Q4 2024</w:t>
            </w:r>
          </w:p>
        </w:tc>
        <w:tc>
          <w:tcPr/>
          <w:p>
            <w:pPr>
              <w:pStyle w:val="Compact"/>
              <w:jc w:val="left"/>
            </w:pPr>
            <w:r>
              <w:t xml:space="preserve">Expand to District 7 business hub; initiate referral program; achieve $200K revenue.</w:t>
            </w:r>
          </w:p>
        </w:tc>
      </w:tr>
    </w:tbl>
    <w:bookmarkEnd w:id="30"/>
    <w:bookmarkStart w:id="31" w:name="X6f8ed55cc7528f1d051758e92dec8021cfd6a40"/>
    <w:p>
      <w:pPr>
        <w:pStyle w:val="Heading2"/>
      </w:pPr>
      <w:r>
        <w:t xml:space="preserve">Conclusion: The Future of Auditor Excellence in Vietnam Ho Chi Minh City</w:t>
      </w:r>
    </w:p>
    <w:p>
      <w:pPr>
        <w:pStyle w:val="FirstParagraph"/>
      </w:pPr>
      <w:r>
        <w:t xml:space="preserve">This Marketing Plan positions our firm not merely as an Auditor service provider, but as a strategic catalyst for business integrity in Vietnam’s most vital economic engine. By embedding ourselves within Ho Chi Minh City’s commercial DNA—understanding its regulatory heartbeat, cultural rhythm, and digital evolution—we transform audit from a compliance chore into a competitive advantage. As Vietnam accelerates its integration into global markets, the demand for Auditor expertise that bridges international standards with local reality will only intensify. Our focused approach in Vietnam Ho Chi Minh City ensures we lead this transition with precision, trust, and measurable impact. The success of this plan will be measured not just in client acquisition metrics, but in the tangible contribution to a more transparent, resilient business ecosystem for all stakeholders across Ho Chi Minh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Auditor Services in Ho Chi Minh City, Vietnam</dc:title>
  <dc:creator/>
  <dc:language>en</dc:language>
  <cp:keywords/>
  <dcterms:created xsi:type="dcterms:W3CDTF">2026-07-21T11:09:27Z</dcterms:created>
  <dcterms:modified xsi:type="dcterms:W3CDTF">2026-07-21T11:09:27Z</dcterms:modified>
</cp:coreProperties>
</file>

<file path=docProps/custom.xml><?xml version="1.0" encoding="utf-8"?>
<Properties xmlns="http://schemas.openxmlformats.org/officeDocument/2006/custom-properties" xmlns:vt="http://schemas.openxmlformats.org/officeDocument/2006/docPropsVTypes"/>
</file>