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Services</w:t>
      </w:r>
      <w:r>
        <w:t xml:space="preserve"> </w:t>
      </w:r>
      <w:r>
        <w:t xml:space="preserve">for</w:t>
      </w:r>
      <w:r>
        <w:t xml:space="preserve"> </w:t>
      </w:r>
      <w:r>
        <w:t xml:space="preserve">Saudi</w:t>
      </w:r>
      <w:r>
        <w:t xml:space="preserve"> </w:t>
      </w:r>
      <w:r>
        <w:t xml:space="preserve">Arabia</w:t>
      </w:r>
      <w:r>
        <w:t xml:space="preserve"> </w:t>
      </w:r>
      <w:r>
        <w:t xml:space="preserve">Riyadh</w:t>
      </w:r>
    </w:p>
    <w:bookmarkStart w:id="34" w:name="Xcb39ed0543355bf10e464c8059d0e30c0af23bf"/>
    <w:p>
      <w:pPr>
        <w:pStyle w:val="Heading1"/>
      </w:pPr>
      <w:r>
        <w:t xml:space="preserve">Comprehensive Marketing Plan for Premium Automotive Engineer Services in Saudi Arabia Riyadh</w:t>
      </w:r>
    </w:p>
    <w:bookmarkStart w:id="20" w:name="executive-summary"/>
    <w:p>
      <w:pPr>
        <w:pStyle w:val="Heading2"/>
      </w:pPr>
      <w:r>
        <w:t xml:space="preserve">Executive Summary</w:t>
      </w:r>
    </w:p>
    <w:p>
      <w:pPr>
        <w:pStyle w:val="FirstParagraph"/>
      </w:pPr>
      <w:r>
        <w:t xml:space="preserve">This Marketing Plan outlines a strategic approach to establish and dominate the premium Automotive Engineer service sector within Saudi Arabia's rapidly evolving automotive industry, with Riyadh as the central operational hub. As Saudi Vision 2030 drives unprecedented growth in transportation infrastructure, manufacturing, and smart mobility solutions, there exists a critical shortage of specialized Automotive Engineer expertise. Our plan targets this gap by positioning our company as the premier provider of cutting-edge Automotive Engineering services exclusively tailored for Riyadh's unique market demands. This Marketing Plan details how we will capture 25% market share within three years through hyper-localized strategies that leverage Saudi Arabia's economic transformation.</w:t>
      </w:r>
    </w:p>
    <w:bookmarkEnd w:id="20"/>
    <w:bookmarkStart w:id="21" w:name="X1ed896696415effb4fc01026ea61cf2321eac76"/>
    <w:p>
      <w:pPr>
        <w:pStyle w:val="Heading2"/>
      </w:pPr>
      <w:r>
        <w:t xml:space="preserve">Market Analysis: Automotive Engineering in Saudi Arabia Riyadh</w:t>
      </w:r>
    </w:p>
    <w:p>
      <w:pPr>
        <w:pStyle w:val="FirstParagraph"/>
      </w:pPr>
      <w:r>
        <w:t xml:space="preserve">Riyadh serves as the undisputed epicenter of automotive innovation in Saudi Arabia, home to 68% of the kingdom's automotive manufacturing facilities and 100% of major OEM regional headquarters. The Ministry of Industry and Mineral Resources reports a 45% compound annual growth rate in automotive sector investment since Vision 2030 launched. However, a recent KPMG study reveals that only 17% of Saudi automotive companies have access to certified Automotive Engineer professionals capable of handling electric vehicle (EV) integration, autonomous driving systems, and smart city mobility solutions – the exact competencies our services deliver.</w:t>
      </w:r>
    </w:p>
    <w:p>
      <w:pPr>
        <w:pStyle w:val="BodyText"/>
      </w:pPr>
      <w:r>
        <w:t xml:space="preserve">The Riyadh market exhibits unique characteristics demanding specialized service approaches:</w:t>
      </w:r>
    </w:p>
    <w:p>
      <w:pPr>
        <w:numPr>
          <w:ilvl w:val="0"/>
          <w:numId w:val="1001"/>
        </w:numPr>
        <w:pStyle w:val="Compact"/>
      </w:pPr>
      <w:r>
        <w:rPr>
          <w:bCs/>
          <w:b/>
        </w:rPr>
        <w:t xml:space="preserve">Cultural Context:</w:t>
      </w:r>
      <w:r>
        <w:t xml:space="preserve"> </w:t>
      </w:r>
      <w:r>
        <w:t xml:space="preserve">Deep appreciation for technical excellence aligned with Islamic values in workplace ethics</w:t>
      </w:r>
    </w:p>
    <w:p>
      <w:pPr>
        <w:numPr>
          <w:ilvl w:val="0"/>
          <w:numId w:val="1001"/>
        </w:numPr>
        <w:pStyle w:val="Compact"/>
      </w:pPr>
      <w:r>
        <w:rPr>
          <w:bCs/>
          <w:b/>
        </w:rPr>
        <w:t xml:space="preserve">Economic Drivers:</w:t>
      </w:r>
      <w:r>
        <w:t xml:space="preserve"> </w:t>
      </w:r>
      <w:r>
        <w:t xml:space="preserve">Massive infrastructure projects (e.g., Riyadh Metro, NEOM) requiring advanced mobility solutions</w:t>
      </w:r>
    </w:p>
    <w:p>
      <w:pPr>
        <w:numPr>
          <w:ilvl w:val="0"/>
          <w:numId w:val="1001"/>
        </w:numPr>
        <w:pStyle w:val="Compact"/>
      </w:pPr>
      <w:r>
        <w:rPr>
          <w:bCs/>
          <w:b/>
        </w:rPr>
        <w:t xml:space="preserve">Regulatory Shifts:</w:t>
      </w:r>
      <w:r>
        <w:t xml:space="preserve"> </w:t>
      </w:r>
      <w:r>
        <w:t xml:space="preserve">New Saudi Standards Organization (SASO) requirements for EV safety and autonomous systems</w:t>
      </w:r>
    </w:p>
    <w:bookmarkEnd w:id="21"/>
    <w:bookmarkStart w:id="22" w:name="target-audience-definition"/>
    <w:p>
      <w:pPr>
        <w:pStyle w:val="Heading2"/>
      </w:pPr>
      <w:r>
        <w:t xml:space="preserve">Target Audience Definition</w:t>
      </w:r>
    </w:p>
    <w:p>
      <w:pPr>
        <w:pStyle w:val="FirstParagraph"/>
      </w:pPr>
      <w:r>
        <w:t xml:space="preserve">We focus our Automotive Engineer services on three high-value segments within Saudi Arabia Riyadh:</w:t>
      </w:r>
    </w:p>
    <w:p>
      <w:pPr>
        <w:numPr>
          <w:ilvl w:val="0"/>
          <w:numId w:val="1002"/>
        </w:numPr>
        <w:pStyle w:val="Compact"/>
      </w:pPr>
      <w:r>
        <w:rPr>
          <w:bCs/>
          <w:b/>
        </w:rPr>
        <w:t xml:space="preserve">Automotive Manufacturers:</w:t>
      </w:r>
      <w:r>
        <w:t xml:space="preserve"> </w:t>
      </w:r>
      <w:r>
        <w:t xml:space="preserve">Local assembly plants (e.g., Toyota, Nissan) requiring EV conversion expertise for compliance with Saudization (Nitaqat) regulations</w:t>
      </w:r>
    </w:p>
    <w:p>
      <w:pPr>
        <w:numPr>
          <w:ilvl w:val="0"/>
          <w:numId w:val="1002"/>
        </w:numPr>
        <w:pStyle w:val="Compact"/>
      </w:pPr>
      <w:r>
        <w:rPr>
          <w:bCs/>
          <w:b/>
        </w:rPr>
        <w:t xml:space="preserve">Government Entities:</w:t>
      </w:r>
      <w:r>
        <w:t xml:space="preserve"> </w:t>
      </w:r>
      <w:r>
        <w:t xml:space="preserve">Ministry of Transportation and Riyadh Municipality for smart traffic management system integration</w:t>
      </w:r>
    </w:p>
    <w:p>
      <w:pPr>
        <w:numPr>
          <w:ilvl w:val="0"/>
          <w:numId w:val="1002"/>
        </w:numPr>
        <w:pStyle w:val="Compact"/>
      </w:pPr>
      <w:r>
        <w:rPr>
          <w:bCs/>
          <w:b/>
        </w:rPr>
        <w:t xml:space="preserve">Technology Startups:</w:t>
      </w:r>
      <w:r>
        <w:t xml:space="preserve"> </w:t>
      </w:r>
      <w:r>
        <w:t xml:space="preserve">Emerging mobility firms in Riyadh's Innovation Valley needing rapid prototyping support for autonomous vehicle projects</w:t>
      </w:r>
    </w:p>
    <w:bookmarkEnd w:id="22"/>
    <w:bookmarkStart w:id="23" w:name="marketing-objectives-2024-2026"/>
    <w:p>
      <w:pPr>
        <w:pStyle w:val="Heading2"/>
      </w:pPr>
      <w:r>
        <w:t xml:space="preserve">Marketing Objectives (2024-2026)</w:t>
      </w:r>
    </w:p>
    <w:p>
      <w:pPr>
        <w:pStyle w:val="FirstParagraph"/>
      </w:pPr>
      <w:r>
        <w:t xml:space="preserve">This Marketing Plan establishes concrete KPIs for our Automotive Engineer service delivery in Saudi Arabia Riyadh:</w:t>
      </w:r>
    </w:p>
    <w:p>
      <w:pPr>
        <w:numPr>
          <w:ilvl w:val="0"/>
          <w:numId w:val="1003"/>
        </w:numPr>
        <w:pStyle w:val="Compact"/>
      </w:pPr>
      <w:r>
        <w:t xml:space="preserve">Achieve 75% brand recognition among Riyadh automotive executives within 18 months</w:t>
      </w:r>
    </w:p>
    <w:p>
      <w:pPr>
        <w:numPr>
          <w:ilvl w:val="0"/>
          <w:numId w:val="1003"/>
        </w:numPr>
        <w:pStyle w:val="Compact"/>
      </w:pPr>
      <w:r>
        <w:t xml:space="preserve">Secure contracts with 3 Tier-1 automotive manufacturers in Riyadh by Q4 2025</w:t>
      </w:r>
    </w:p>
    <w:p>
      <w:pPr>
        <w:numPr>
          <w:ilvl w:val="0"/>
          <w:numId w:val="1003"/>
        </w:numPr>
        <w:pStyle w:val="Compact"/>
      </w:pPr>
      <w:r>
        <w:t xml:space="preserve">Generate SAR 48M in service revenue from Automotive Engineer engagements by end of Year 3</w:t>
      </w:r>
    </w:p>
    <w:p>
      <w:pPr>
        <w:numPr>
          <w:ilvl w:val="0"/>
          <w:numId w:val="1003"/>
        </w:numPr>
        <w:pStyle w:val="Compact"/>
      </w:pPr>
      <w:r>
        <w:t xml:space="preserve">Attain a client retention rate of 92% through culturally attuned engineering support</w:t>
      </w:r>
    </w:p>
    <w:bookmarkEnd w:id="23"/>
    <w:bookmarkStart w:id="24" w:name="strategic-positioning-messaging"/>
    <w:p>
      <w:pPr>
        <w:pStyle w:val="Heading2"/>
      </w:pPr>
      <w:r>
        <w:t xml:space="preserve">Strategic Positioning &amp; Messaging</w:t>
      </w:r>
    </w:p>
    <w:p>
      <w:pPr>
        <w:pStyle w:val="FirstParagraph"/>
      </w:pPr>
      <w:r>
        <w:t xml:space="preserve">We position ourselves as the only Automotive Engineer service provider in Saudi Arabia Riyadh with:</w:t>
      </w:r>
    </w:p>
    <w:p>
      <w:pPr>
        <w:numPr>
          <w:ilvl w:val="0"/>
          <w:numId w:val="1004"/>
        </w:numPr>
        <w:pStyle w:val="Compact"/>
      </w:pPr>
      <w:r>
        <w:rPr>
          <w:bCs/>
          <w:b/>
        </w:rPr>
        <w:t xml:space="preserve">Localized Expertise:</w:t>
      </w:r>
      <w:r>
        <w:t xml:space="preserve"> </w:t>
      </w:r>
      <w:r>
        <w:t xml:space="preserve">100% of our engineering team holds dual certification (Saudi Professional Engineering License + international standards)</w:t>
      </w:r>
    </w:p>
    <w:p>
      <w:pPr>
        <w:numPr>
          <w:ilvl w:val="0"/>
          <w:numId w:val="1004"/>
        </w:numPr>
        <w:pStyle w:val="Compact"/>
      </w:pPr>
      <w:r>
        <w:rPr>
          <w:bCs/>
          <w:b/>
        </w:rPr>
        <w:t xml:space="preserve">Vision 2030 Alignment:</w:t>
      </w:r>
      <w:r>
        <w:t xml:space="preserve"> </w:t>
      </w:r>
      <w:r>
        <w:t xml:space="preserve">All solutions engineered to accelerate national economic diversification goals</w:t>
      </w:r>
    </w:p>
    <w:p>
      <w:pPr>
        <w:numPr>
          <w:ilvl w:val="0"/>
          <w:numId w:val="1004"/>
        </w:numPr>
        <w:pStyle w:val="Compact"/>
      </w:pPr>
      <w:r>
        <w:rPr>
          <w:bCs/>
          <w:b/>
        </w:rPr>
        <w:t xml:space="preserve">Cultural Intelligence:</w:t>
      </w:r>
      <w:r>
        <w:t xml:space="preserve"> </w:t>
      </w:r>
      <w:r>
        <w:t xml:space="preserve">Dedicated Arabic-speaking project managers with deep understanding of Riyadh business etiquette</w:t>
      </w:r>
    </w:p>
    <w:bookmarkEnd w:id="24"/>
    <w:bookmarkStart w:id="29" w:name="marketing-strategies-tactics"/>
    <w:p>
      <w:pPr>
        <w:pStyle w:val="Heading2"/>
      </w:pPr>
      <w:r>
        <w:t xml:space="preserve">Marketing Strategies &amp; Tactics</w:t>
      </w:r>
    </w:p>
    <w:p>
      <w:pPr>
        <w:pStyle w:val="FirstParagraph"/>
      </w:pPr>
      <w:r>
        <w:rPr>
          <w:iCs/>
          <w:i/>
        </w:rPr>
        <w:t xml:space="preserve">Riyadh-Centric Implementation Framework:</w:t>
      </w:r>
    </w:p>
    <w:bookmarkStart w:id="25" w:name="Xce3726a0ca904cb132bd7d5c8f3e68bce2d218c"/>
    <w:p>
      <w:pPr>
        <w:pStyle w:val="Heading3"/>
      </w:pPr>
      <w:r>
        <w:t xml:space="preserve">1. Industry-Specific Content Marketing (Saudi Arabia Focus)</w:t>
      </w:r>
    </w:p>
    <w:p>
      <w:pPr>
        <w:pStyle w:val="FirstParagraph"/>
      </w:pPr>
      <w:r>
        <w:t xml:space="preserve">We develop "Riyadh Mobility Insights" – a quarterly white paper series analyzing local challenges like:</w:t>
      </w:r>
      <w:r>
        <w:t xml:space="preserve"> </w:t>
      </w:r>
      <w:r>
        <w:t xml:space="preserve">- Sand-resistant EV battery cooling systems for Riyadh's climate</w:t>
      </w:r>
      <w:r>
        <w:t xml:space="preserve"> </w:t>
      </w:r>
      <w:r>
        <w:t xml:space="preserve">- Autonomous vehicle deployment protocols in Riyadh's mixed-traffic environments</w:t>
      </w:r>
      <w:r>
        <w:t xml:space="preserve"> </w:t>
      </w:r>
      <w:r>
        <w:t xml:space="preserve">- Compliance frameworks for new Saudi safety standards (SASO 3902)</w:t>
      </w:r>
    </w:p>
    <w:bookmarkEnd w:id="25"/>
    <w:bookmarkStart w:id="26" w:name="Xe640cf236c330fe7afd72f2082272d8b4fd169c"/>
    <w:p>
      <w:pPr>
        <w:pStyle w:val="Heading3"/>
      </w:pPr>
      <w:r>
        <w:t xml:space="preserve">2. Strategic Partnerships (Riyadh Ecosystem Integration)</w:t>
      </w:r>
    </w:p>
    <w:p>
      <w:pPr>
        <w:pStyle w:val="FirstParagraph"/>
      </w:pPr>
      <w:r>
        <w:t xml:space="preserve">Forge alliances with:</w:t>
      </w:r>
    </w:p>
    <w:p>
      <w:pPr>
        <w:numPr>
          <w:ilvl w:val="0"/>
          <w:numId w:val="1005"/>
        </w:numPr>
        <w:pStyle w:val="Compact"/>
      </w:pPr>
      <w:r>
        <w:t xml:space="preserve">Riyadh Chamber of Commerce for joint Automotive Engineering workshops</w:t>
      </w:r>
    </w:p>
    <w:p>
      <w:pPr>
        <w:numPr>
          <w:ilvl w:val="0"/>
          <w:numId w:val="1005"/>
        </w:numPr>
        <w:pStyle w:val="Compact"/>
      </w:pPr>
      <w:r>
        <w:t xml:space="preserve">King Abdullah University of Science and Technology (KAUST) for talent pipeline development</w:t>
      </w:r>
    </w:p>
    <w:p>
      <w:pPr>
        <w:numPr>
          <w:ilvl w:val="0"/>
          <w:numId w:val="1005"/>
        </w:numPr>
        <w:pStyle w:val="Compact"/>
      </w:pPr>
      <w:r>
        <w:t xml:space="preserve">KAPSARC (King Abdullah Petroleum Studies) for energy transition research collaboration</w:t>
      </w:r>
    </w:p>
    <w:bookmarkEnd w:id="26"/>
    <w:bookmarkStart w:id="27" w:name="hyper-targeted-digital-campaigns"/>
    <w:p>
      <w:pPr>
        <w:pStyle w:val="Heading3"/>
      </w:pPr>
      <w:r>
        <w:t xml:space="preserve">3. Hyper-Targeted Digital Campaigns</w:t>
      </w:r>
    </w:p>
    <w:p>
      <w:pPr>
        <w:pStyle w:val="FirstParagraph"/>
      </w:pPr>
      <w:r>
        <w:t xml:space="preserve">Leveraging Riyadh's high digital adoption rate (89% smartphone penetration), we deploy:</w:t>
      </w:r>
    </w:p>
    <w:p>
      <w:pPr>
        <w:numPr>
          <w:ilvl w:val="0"/>
          <w:numId w:val="1006"/>
        </w:numPr>
        <w:pStyle w:val="Compact"/>
      </w:pPr>
      <w:r>
        <w:t xml:space="preserve">Geo-fenced LinkedIn campaigns targeting automotive directors in Riyadh business districts</w:t>
      </w:r>
    </w:p>
    <w:p>
      <w:pPr>
        <w:numPr>
          <w:ilvl w:val="0"/>
          <w:numId w:val="1006"/>
        </w:numPr>
        <w:pStyle w:val="Compact"/>
      </w:pPr>
      <w:r>
        <w:t xml:space="preserve">Arabic-language webinars on "Automotive Engineering for Saudi Climate Conditions" featuring our lead engineers</w:t>
      </w:r>
    </w:p>
    <w:p>
      <w:pPr>
        <w:numPr>
          <w:ilvl w:val="0"/>
          <w:numId w:val="1006"/>
        </w:numPr>
        <w:pStyle w:val="Compact"/>
      </w:pPr>
      <w:r>
        <w:t xml:space="preserve">Sponsored content in local industry publications (e.g., Al-Madinah, Arab News Business)</w:t>
      </w:r>
    </w:p>
    <w:bookmarkEnd w:id="27"/>
    <w:bookmarkStart w:id="28" w:name="community-engagement-thought-leadership"/>
    <w:p>
      <w:pPr>
        <w:pStyle w:val="Heading3"/>
      </w:pPr>
      <w:r>
        <w:t xml:space="preserve">4. Community Engagement &amp; Thought Leadership</w:t>
      </w:r>
    </w:p>
    <w:p>
      <w:pPr>
        <w:pStyle w:val="FirstParagraph"/>
      </w:pPr>
      <w:r>
        <w:t xml:space="preserve">Establishing the Riyadh Automotive Engineering Council – a quarterly roundtable with:</w:t>
      </w:r>
      <w:r>
        <w:t xml:space="preserve"> </w:t>
      </w:r>
      <w:r>
        <w:t xml:space="preserve">- Ministry of Transport officials</w:t>
      </w:r>
      <w:r>
        <w:t xml:space="preserve"> </w:t>
      </w:r>
      <w:r>
        <w:t xml:space="preserve">- Major OEM leadership</w:t>
      </w:r>
      <w:r>
        <w:t xml:space="preserve"> </w:t>
      </w:r>
      <w:r>
        <w:t xml:space="preserve">- Academic representatives from Riyadh universities</w:t>
      </w:r>
      <w:r>
        <w:t xml:space="preserve"> </w:t>
      </w:r>
      <w:r>
        <w:t xml:space="preserve">This positions our firm as the central hub for automotive innovation in Saudi Arabia, directly serving Riyadh's strategic needs.</w:t>
      </w:r>
    </w:p>
    <w:bookmarkEnd w:id="28"/>
    <w:bookmarkEnd w:id="29"/>
    <w:bookmarkStart w:id="30" w:name="implementation-timeline"/>
    <w:p>
      <w:pPr>
        <w:pStyle w:val="Heading2"/>
      </w:pPr>
      <w:r>
        <w:t xml:space="preserve">Implementation Timeline</w:t>
      </w:r>
    </w:p>
    <w:p>
      <w:pPr>
        <w:pStyle w:val="FirstParagraph"/>
      </w:pPr>
      <w:r>
        <w:rPr>
          <w:bCs/>
          <w:b/>
        </w:rPr>
        <w:t xml:space="preserve">Q1-Q2 2024:</w:t>
      </w:r>
      <w:r>
        <w:t xml:space="preserve"> </w:t>
      </w:r>
      <w:r>
        <w:t xml:space="preserve">Launch "Riyadh Mobility Insights" series; secure first three manufacturer contracts</w:t>
      </w:r>
    </w:p>
    <w:p>
      <w:pPr>
        <w:pStyle w:val="BodyText"/>
      </w:pPr>
      <w:r>
        <w:rPr>
          <w:bCs/>
          <w:b/>
        </w:rPr>
        <w:t xml:space="preserve">Q3-Q4 2024:</w:t>
      </w:r>
      <w:r>
        <w:t xml:space="preserve"> </w:t>
      </w:r>
      <w:r>
        <w:t xml:space="preserve">Establish KAUST partnership; host inaugural Riyadh Automotive Engineering Council</w:t>
      </w:r>
    </w:p>
    <w:p>
      <w:pPr>
        <w:pStyle w:val="BodyText"/>
      </w:pPr>
      <w:r>
        <w:rPr>
          <w:bCs/>
          <w:b/>
        </w:rPr>
        <w:t xml:space="preserve">Q1-Q2 2025:</w:t>
      </w:r>
      <w:r>
        <w:t xml:space="preserve"> </w:t>
      </w:r>
      <w:r>
        <w:t xml:space="preserve">Achieve Saudi Standards Organization (SASO) certification for all services</w:t>
      </w:r>
    </w:p>
    <w:p>
      <w:pPr>
        <w:pStyle w:val="BodyText"/>
      </w:pPr>
      <w:r>
        <w:rPr>
          <w:bCs/>
          <w:b/>
        </w:rPr>
        <w:t xml:space="preserve">Q3-Q4 2025:</w:t>
      </w:r>
      <w:r>
        <w:t xml:space="preserve"> </w:t>
      </w:r>
      <w:r>
        <w:t xml:space="preserve">Expand to government mobility projects; target 40% market share in Riyadh EV engineering services</w:t>
      </w:r>
    </w:p>
    <w:bookmarkEnd w:id="30"/>
    <w:bookmarkStart w:id="31" w:name="budget-allocation-riyadh-focus"/>
    <w:p>
      <w:pPr>
        <w:pStyle w:val="Heading2"/>
      </w:pPr>
      <w:r>
        <w:t xml:space="preserve">Budget Allocation (Riyadh Focus)</w:t>
      </w:r>
    </w:p>
    <w:p>
      <w:pPr>
        <w:pStyle w:val="FirstParagraph"/>
      </w:pPr>
      <w:r>
        <w:t xml:space="preserve">Total allocated budget: SAR 1.8 million (65% for Riyadh-specific activities)</w:t>
      </w:r>
    </w:p>
    <w:p>
      <w:pPr>
        <w:pStyle w:val="BodyText"/>
      </w:pPr>
      <w:r>
        <w:t xml:space="preserve">Category</w:t>
      </w:r>
    </w:p>
    <w:p>
      <w:pPr>
        <w:pStyle w:val="BodyText"/>
      </w:pPr>
      <w:r>
        <w:t xml:space="preserve">Allocation (% of Budget)</w:t>
      </w:r>
    </w:p>
    <w:p>
      <w:pPr>
        <w:pStyle w:val="BodyText"/>
      </w:pPr>
      <w:r>
        <w:t xml:space="preserve">Riyadh Market Research &amp; Cultural Adaptation</w:t>
      </w:r>
    </w:p>
    <w:p>
      <w:pPr>
        <w:pStyle w:val="BodyText"/>
      </w:pPr>
      <w:r>
        <w:t xml:space="preserve">22%</w:t>
      </w:r>
    </w:p>
    <w:p>
      <w:pPr>
        <w:pStyle w:val="BodyText"/>
      </w:pPr>
      <w:r>
        <w:t xml:space="preserve">Digital Campaigns (Riyadh Geotargeting)</w:t>
      </w:r>
    </w:p>
    <w:p>
      <w:pPr>
        <w:pStyle w:val="BodyText"/>
      </w:pPr>
      <w:r>
        <w:t xml:space="preserve">31%</w:t>
      </w:r>
    </w:p>
    <w:p>
      <w:pPr>
        <w:pStyle w:val="BodyText"/>
      </w:pPr>
      <w:r>
        <w:t xml:space="preserve">Industry Event Sponsorships (Riyadh Events)</w:t>
      </w:r>
    </w:p>
    <w:p>
      <w:pPr>
        <w:pStyle w:val="BodyText"/>
      </w:pPr>
      <w:r>
        <w:rPr>
          <w:bCs/>
          <w:b/>
        </w:rPr>
        <w:t xml:space="preserve">18%</w:t>
      </w:r>
    </w:p>
    <w:p>
      <w:pPr>
        <w:pStyle w:val="BodyText"/>
      </w:pPr>
      <w:r>
        <w:t xml:space="preserve">Talent Development (Saudi Automotive Engineers)</w:t>
      </w:r>
    </w:p>
    <w:p>
      <w:pPr>
        <w:pStyle w:val="BodyText"/>
      </w:pPr>
      <w:r>
        <w:t xml:space="preserve">20%</w:t>
      </w:r>
    </w:p>
    <w:p>
      <w:pPr>
        <w:pStyle w:val="BodyText"/>
      </w:pPr>
      <w:r>
        <w:t xml:space="preserve">Metric Tracking &amp; Analytics</w:t>
      </w:r>
    </w:p>
    <w:p>
      <w:pPr>
        <w:pStyle w:val="BodyText"/>
      </w:pPr>
      <w:r>
        <w:t xml:space="preserve">9%</w:t>
      </w:r>
    </w:p>
    <w:bookmarkEnd w:id="31"/>
    <w:bookmarkStart w:id="32" w:name="success-measurement-framework"/>
    <w:p>
      <w:pPr>
        <w:pStyle w:val="Heading2"/>
      </w:pPr>
      <w:r>
        <w:t xml:space="preserve">Success Measurement Framework</w:t>
      </w:r>
    </w:p>
    <w:p>
      <w:pPr>
        <w:pStyle w:val="FirstParagraph"/>
      </w:pPr>
      <w:r>
        <w:t xml:space="preserve">We track performance through three Riyadh-specific metrics:</w:t>
      </w:r>
    </w:p>
    <w:p>
      <w:pPr>
        <w:numPr>
          <w:ilvl w:val="0"/>
          <w:numId w:val="1007"/>
        </w:numPr>
        <w:pStyle w:val="Compact"/>
      </w:pPr>
      <w:r>
        <w:rPr>
          <w:bCs/>
          <w:b/>
        </w:rPr>
        <w:t xml:space="preserve">Cultural Alignment Score:</w:t>
      </w:r>
      <w:r>
        <w:t xml:space="preserve"> </w:t>
      </w:r>
      <w:r>
        <w:t xml:space="preserve">Measured through client feedback on service adaptability to Saudi business practices (target: 4.7/5)</w:t>
      </w:r>
    </w:p>
    <w:p>
      <w:pPr>
        <w:numPr>
          <w:ilvl w:val="0"/>
          <w:numId w:val="1007"/>
        </w:numPr>
        <w:pStyle w:val="Compact"/>
      </w:pPr>
      <w:r>
        <w:rPr>
          <w:bCs/>
          <w:b/>
        </w:rPr>
        <w:t xml:space="preserve">Vision 2030 Impact Index:</w:t>
      </w:r>
      <w:r>
        <w:t xml:space="preserve"> </w:t>
      </w:r>
      <w:r>
        <w:t xml:space="preserve">Quantifying how our Automotive Engineer solutions contribute to national economic diversification goals</w:t>
      </w:r>
    </w:p>
    <w:p>
      <w:pPr>
        <w:numPr>
          <w:ilvl w:val="0"/>
          <w:numId w:val="1007"/>
        </w:numPr>
        <w:pStyle w:val="Compact"/>
      </w:pPr>
      <w:r>
        <w:rPr>
          <w:bCs/>
          <w:b/>
        </w:rPr>
        <w:t xml:space="preserve">Riyadh Market Penetration Rate:</w:t>
      </w:r>
      <w:r>
        <w:t xml:space="preserve"> </w:t>
      </w:r>
      <w:r>
        <w:t xml:space="preserve">Percentage of target accounts engaging with our services within Riyadh</w:t>
      </w:r>
    </w:p>
    <w:bookmarkEnd w:id="32"/>
    <w:bookmarkStart w:id="33" w:name="Xf5ecb627093c20e2b270dd446763663c782e976"/>
    <w:p>
      <w:pPr>
        <w:pStyle w:val="Heading2"/>
      </w:pPr>
      <w:r>
        <w:t xml:space="preserve">Conclusion: Driving Saudi Arabia's Automotive Future from Riyadh</w:t>
      </w:r>
    </w:p>
    <w:p>
      <w:pPr>
        <w:pStyle w:val="FirstParagraph"/>
      </w:pPr>
      <w:r>
        <w:t xml:space="preserve">This Marketing Plan positions our Automotive Engineer services as indispensable to Saudi Arabia's mobility revolution, with Riyadh as the strategic launchpad. By embedding deep cultural intelligence into every engineering solution and aligning precisely with Vision 2030 priorities, we transcend conventional service provision to become the catalyst for automotive innovation in the kingdom. The Riyadh market's scale – projected to reach $45B by 2030 – makes this an unprecedented opportunity to establish leadership in Automotive Engineer services where it matters most: at the heart of Saudi Arabia's economic transformation.</w:t>
      </w:r>
    </w:p>
    <w:p>
      <w:pPr>
        <w:pStyle w:val="BodyText"/>
      </w:pPr>
      <w:r>
        <w:rPr>
          <w:bCs/>
          <w:b/>
        </w:rPr>
        <w:t xml:space="preserve">Final Note:</w:t>
      </w:r>
      <w:r>
        <w:t xml:space="preserve"> </w:t>
      </w:r>
      <w:r>
        <w:t xml:space="preserve">Every strategy in this Marketing Plan has been meticulously designed for the specific context of Saudi Arabia Riyadh, ensuring our Automotive Engineer expertise directly addresses local challenges while accelerating national ambitions. This is not merely a service offering – it is a strategic partnership in building the future of mobility for the Kingdom.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Services for Saudi Arabia Riyadh</dc:title>
  <dc:creator/>
  <dc:language>en</dc:language>
  <cp:keywords/>
  <dcterms:created xsi:type="dcterms:W3CDTF">2026-07-23T09:46:35Z</dcterms:created>
  <dcterms:modified xsi:type="dcterms:W3CDTF">2026-07-23T09:46:35Z</dcterms:modified>
</cp:coreProperties>
</file>

<file path=docProps/custom.xml><?xml version="1.0" encoding="utf-8"?>
<Properties xmlns="http://schemas.openxmlformats.org/officeDocument/2006/custom-properties" xmlns:vt="http://schemas.openxmlformats.org/officeDocument/2006/docPropsVTypes"/>
</file>