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Banker</w:t>
      </w:r>
      <w:r>
        <w:t xml:space="preserve"> </w:t>
      </w:r>
      <w:r>
        <w:t xml:space="preserve">for</w:t>
      </w:r>
      <w:r>
        <w:t xml:space="preserve"> </w:t>
      </w:r>
      <w:r>
        <w:t xml:space="preserve">China</w:t>
      </w:r>
      <w:r>
        <w:t xml:space="preserve"> </w:t>
      </w:r>
      <w:r>
        <w:t xml:space="preserve">Beijing</w:t>
      </w:r>
    </w:p>
    <w:bookmarkStart w:id="30" w:name="X0b0a693a5ad8ebe1e7763f5f065e788b7a45901"/>
    <w:p>
      <w:pPr>
        <w:pStyle w:val="Heading1"/>
      </w:pPr>
      <w:r>
        <w:t xml:space="preserve">Marketing Plan: Banker's Strategic Entry into China Beijing Market</w:t>
      </w:r>
    </w:p>
    <w:bookmarkStart w:id="20" w:name="executive-summary"/>
    <w:p>
      <w:pPr>
        <w:pStyle w:val="Heading2"/>
      </w:pPr>
      <w:r>
        <w:t xml:space="preserve">Executive Summary</w:t>
      </w:r>
    </w:p>
    <w:p>
      <w:pPr>
        <w:pStyle w:val="FirstParagraph"/>
      </w:pPr>
      <w:r>
        <w:t xml:space="preserve">This comprehensive Marketing Plan outlines the targeted strategy for "Banker," a cutting-edge digital banking platform, to establish dominance in China Beijing's competitive financial landscape. Focusing exclusively on the unique economic, cultural, and regulatory environment of Beijing, this plan details how Banker will capture market share by addressing unmet needs of high-net-worth individuals (HNWIs), SMEs, and tech-savvy urban professionals. With Beijing serving as the strategic gateway to China's financial ecosystem, Banker’s entry here represents a critical first step for national expansion. The plan commits to achieving 500,000 active users within 18 months through hyper-localized digital engagement and compliance-driven service design.</w:t>
      </w:r>
    </w:p>
    <w:bookmarkEnd w:id="20"/>
    <w:bookmarkStart w:id="21" w:name="market-analysis-china-beijing-context"/>
    <w:p>
      <w:pPr>
        <w:pStyle w:val="Heading2"/>
      </w:pPr>
      <w:r>
        <w:t xml:space="preserve">Market Analysis: China Beijing Context</w:t>
      </w:r>
    </w:p>
    <w:p>
      <w:pPr>
        <w:pStyle w:val="FirstParagraph"/>
      </w:pPr>
      <w:r>
        <w:t xml:space="preserve">China Beijing presents an unparalleled opportunity for Banker due to its status as the nation's financial, political, and technological epicenter. The city houses 18% of China’s Fortune 500 companies, boasts a GDP exceeding $460 billion, and features one of the world's highest smartphone penetration rates (98%). However, traditional banking in Beijing faces critical gaps: legacy systems hinder SME loan approvals (taking 45+ days on average), while HNWIs seek seamless cross-border wealth management solutions. According to China Banking Regulatory Commission (CBIRC) data, only 32% of Beijing’s SMEs utilize digital banking services—signaling massive untapped potential for Banker.</w:t>
      </w:r>
    </w:p>
    <w:p>
      <w:pPr>
        <w:pStyle w:val="BodyText"/>
      </w:pPr>
      <w:r>
        <w:t xml:space="preserve">Crucially, China Beijing's fintech ecosystem is accelerating under national "Digital China" policies, with Beijing’s Zhongguancun Science Park driving innovation. Competitors like Ant Group and WeBank dominate but lack Banker’s specialized focus on high-value client needs. This gap positions Banker to disrupt with a platform designed *exclusively* for Beijing's market dynamics, leveraging CBIRC compliance as a core differentiator.</w:t>
      </w:r>
    </w:p>
    <w:bookmarkEnd w:id="21"/>
    <w:bookmarkStart w:id="22" w:name="Xf39a780fa25cdb3a189c496b7b65123125bf85d"/>
    <w:p>
      <w:pPr>
        <w:pStyle w:val="Heading2"/>
      </w:pPr>
      <w:r>
        <w:t xml:space="preserve">Target Audience Segmentation: Beijing Focus</w:t>
      </w:r>
    </w:p>
    <w:p>
      <w:pPr>
        <w:pStyle w:val="FirstParagraph"/>
      </w:pPr>
      <w:r>
        <w:t xml:space="preserve">Banker’s strategy targets three high-potential segments within China Beijing:</w:t>
      </w:r>
    </w:p>
    <w:p>
      <w:pPr>
        <w:numPr>
          <w:ilvl w:val="0"/>
          <w:numId w:val="1001"/>
        </w:numPr>
        <w:pStyle w:val="Compact"/>
      </w:pPr>
      <w:r>
        <w:rPr>
          <w:bCs/>
          <w:b/>
        </w:rPr>
        <w:t xml:space="preserve">SME Owners (45% of target):</w:t>
      </w:r>
      <w:r>
        <w:t xml:space="preserve"> </w:t>
      </w:r>
      <w:r>
        <w:t xml:space="preserve">1.2 million businesses in Beijing needing rapid, collateral-free loans. Banker will deploy AI-driven credit scoring using Beijing's commercial registry data.</w:t>
      </w:r>
    </w:p>
    <w:p>
      <w:pPr>
        <w:numPr>
          <w:ilvl w:val="0"/>
          <w:numId w:val="1001"/>
        </w:numPr>
        <w:pStyle w:val="Compact"/>
      </w:pPr>
      <w:r>
        <w:rPr>
          <w:bCs/>
          <w:b/>
        </w:rPr>
        <w:t xml:space="preserve">Highest-Net-Worth Individuals (30%):</w:t>
      </w:r>
      <w:r>
        <w:t xml:space="preserve"> </w:t>
      </w:r>
      <w:r>
        <w:t xml:space="preserve">250,000+ HNWIs in Beijing seeking integrated cross-border investment tools compliant with China’s capital controls.</w:t>
      </w:r>
    </w:p>
    <w:p>
      <w:pPr>
        <w:numPr>
          <w:ilvl w:val="0"/>
          <w:numId w:val="1001"/>
        </w:numPr>
        <w:pStyle w:val="Compact"/>
      </w:pPr>
      <w:r>
        <w:rPr>
          <w:bCs/>
          <w:b/>
        </w:rPr>
        <w:t xml:space="preserve">Tech-Forward Professionals (25%):</w:t>
      </w:r>
      <w:r>
        <w:t xml:space="preserve"> </w:t>
      </w:r>
      <w:r>
        <w:t xml:space="preserve">12 million urban residents aged 28-45 preferring all-in-one financial apps over branch banking.</w:t>
      </w:r>
    </w:p>
    <w:bookmarkEnd w:id="22"/>
    <w:bookmarkStart w:id="23" w:name="X6fb9e781fbaf79f95316f05423249e67482ba2d"/>
    <w:p>
      <w:pPr>
        <w:pStyle w:val="Heading2"/>
      </w:pPr>
      <w:r>
        <w:t xml:space="preserve">Banker's Value Proposition for China Beijing</w:t>
      </w:r>
    </w:p>
    <w:p>
      <w:pPr>
        <w:pStyle w:val="FirstParagraph"/>
      </w:pPr>
      <w:r>
        <w:t xml:space="preserve">Banker uniquely addresses Beijing-specific pain points through:</w:t>
      </w:r>
    </w:p>
    <w:p>
      <w:pPr>
        <w:numPr>
          <w:ilvl w:val="0"/>
          <w:numId w:val="1002"/>
        </w:numPr>
        <w:pStyle w:val="Compact"/>
      </w:pPr>
      <w:r>
        <w:rPr>
          <w:bCs/>
          <w:b/>
        </w:rPr>
        <w:t xml:space="preserve">Beijing SME Accelerator Program:</w:t>
      </w:r>
      <w:r>
        <w:t xml:space="preserve"> </w:t>
      </w:r>
      <w:r>
        <w:t xml:space="preserve">72-hour loan processing using real-time data from Beijing’s Municipal Tax Bureau, reducing traditional timelines by 90%.</w:t>
      </w:r>
    </w:p>
    <w:p>
      <w:pPr>
        <w:numPr>
          <w:ilvl w:val="0"/>
          <w:numId w:val="1002"/>
        </w:numPr>
        <w:pStyle w:val="Compact"/>
      </w:pPr>
      <w:r>
        <w:rPr>
          <w:bCs/>
          <w:b/>
        </w:rPr>
        <w:t xml:space="preserve">Capital-Control-Compliant Wealth Hub:</w:t>
      </w:r>
      <w:r>
        <w:t xml:space="preserve"> </w:t>
      </w:r>
      <w:r>
        <w:t xml:space="preserve">Seamless integration with China’s Cross-Border Capital Management System for HNWIs, enabling compliant investment in Hong Kong and Singapore markets via the Banker platform.</w:t>
      </w:r>
    </w:p>
    <w:p>
      <w:pPr>
        <w:numPr>
          <w:ilvl w:val="0"/>
          <w:numId w:val="1002"/>
        </w:numPr>
        <w:pStyle w:val="Compact"/>
      </w:pPr>
      <w:r>
        <w:rPr>
          <w:bCs/>
          <w:b/>
        </w:rPr>
        <w:t xml:space="preserve">Beijing Cultural Localization:</w:t>
      </w:r>
      <w:r>
        <w:t xml:space="preserve"> </w:t>
      </w:r>
      <w:r>
        <w:t xml:space="preserve">Mandarin voice interface with Beijing dialect support, WeChat Mini Program integration (used by 92% of Beijing residents), and partnerships with local entities like Dajia Insurance for bundled services.</w:t>
      </w:r>
    </w:p>
    <w:bookmarkEnd w:id="23"/>
    <w:bookmarkStart w:id="26" w:name="X368ce428e1896c462a6fe5b49f0829fc921259f"/>
    <w:p>
      <w:pPr>
        <w:pStyle w:val="Heading2"/>
      </w:pPr>
      <w:r>
        <w:t xml:space="preserve">Marketing Strategy: Implementation in China Beijing</w:t>
      </w:r>
    </w:p>
    <w:p>
      <w:pPr>
        <w:pStyle w:val="FirstParagraph"/>
      </w:pPr>
      <w:r>
        <w:t xml:space="preserve">Banker’s go-to-market plan for China Beijing combines digital precision and physical trust-building:</w:t>
      </w:r>
    </w:p>
    <w:bookmarkStart w:id="24" w:name="digital-acquisition-70-of-budget"/>
    <w:p>
      <w:pPr>
        <w:pStyle w:val="Heading3"/>
      </w:pPr>
      <w:r>
        <w:t xml:space="preserve">Digital Acquisition (70% of Budget)</w:t>
      </w:r>
    </w:p>
    <w:p>
      <w:pPr>
        <w:numPr>
          <w:ilvl w:val="0"/>
          <w:numId w:val="1003"/>
        </w:numPr>
        <w:pStyle w:val="Compact"/>
      </w:pPr>
      <w:r>
        <w:rPr>
          <w:bCs/>
          <w:b/>
        </w:rPr>
        <w:t xml:space="preserve">WeChat &amp; Douyin Campaigns:</w:t>
      </w:r>
      <w:r>
        <w:t xml:space="preserve"> </w:t>
      </w:r>
      <w:r>
        <w:t xml:space="preserve">Targeted ads in Beijing metro areas featuring local influencers (e.g., "Beijing Business Insider" vloggers) demonstrating Banker’s SME loan process using real Beijing company case studies.</w:t>
      </w:r>
    </w:p>
    <w:p>
      <w:pPr>
        <w:numPr>
          <w:ilvl w:val="0"/>
          <w:numId w:val="1003"/>
        </w:numPr>
        <w:pStyle w:val="Compact"/>
      </w:pPr>
      <w:r>
        <w:rPr>
          <w:bCs/>
          <w:b/>
        </w:rPr>
        <w:t xml:space="preserve">Alibaba Cloud Integration:</w:t>
      </w:r>
      <w:r>
        <w:t xml:space="preserve"> </w:t>
      </w:r>
      <w:r>
        <w:t xml:space="preserve">Co-developing a "Beijing Business Health Score" tool with Alibaba, analyzing public business data to identify and proactively reach eligible SMEs via Banker’s app.</w:t>
      </w:r>
    </w:p>
    <w:p>
      <w:pPr>
        <w:numPr>
          <w:ilvl w:val="0"/>
          <w:numId w:val="1003"/>
        </w:numPr>
        <w:pStyle w:val="Compact"/>
      </w:pPr>
      <w:r>
        <w:rPr>
          <w:bCs/>
          <w:b/>
        </w:rPr>
        <w:t xml:space="preserve">CBIRC-Verified Social Proof:</w:t>
      </w:r>
      <w:r>
        <w:t xml:space="preserve"> </w:t>
      </w:r>
      <w:r>
        <w:t xml:space="preserve">Publishing monthly compliance reports on Beijing's financial regulatory portal to build trust, highlighting "Banker Approved by China Beijing CBIRC."</w:t>
      </w:r>
    </w:p>
    <w:bookmarkEnd w:id="24"/>
    <w:bookmarkStart w:id="25" w:name="physical-trust-building-30-of-budget"/>
    <w:p>
      <w:pPr>
        <w:pStyle w:val="Heading3"/>
      </w:pPr>
      <w:r>
        <w:t xml:space="preserve">Physical Trust Building (30% of Budget)</w:t>
      </w:r>
    </w:p>
    <w:p>
      <w:pPr>
        <w:numPr>
          <w:ilvl w:val="0"/>
          <w:numId w:val="1004"/>
        </w:numPr>
        <w:pStyle w:val="Compact"/>
      </w:pPr>
      <w:r>
        <w:rPr>
          <w:bCs/>
          <w:b/>
        </w:rPr>
        <w:t xml:space="preserve">Beijing Innovation Hubs:</w:t>
      </w:r>
      <w:r>
        <w:t xml:space="preserve"> </w:t>
      </w:r>
      <w:r>
        <w:t xml:space="preserve">Pop-up booths at Zhongguancun Science Park and Beijing International Financial Forum events, staffed by bilingual (Mandarin/English) bankers familiar with local business culture.</w:t>
      </w:r>
    </w:p>
    <w:p>
      <w:pPr>
        <w:numPr>
          <w:ilvl w:val="0"/>
          <w:numId w:val="1004"/>
        </w:numPr>
        <w:pStyle w:val="Compact"/>
      </w:pPr>
      <w:r>
        <w:rPr>
          <w:bCs/>
          <w:b/>
        </w:rPr>
        <w:t xml:space="preserve">SME Partnership Ecosystems:</w:t>
      </w:r>
      <w:r>
        <w:t xml:space="preserve"> </w:t>
      </w:r>
      <w:r>
        <w:t xml:space="preserve">Co-hosting "Beijing Growth Workshops" with leading Beijing chambers of commerce (e.g., Beijing SME Association), offering free digital banking training alongside credit counseling.</w:t>
      </w:r>
    </w:p>
    <w:bookmarkEnd w:id="25"/>
    <w:bookmarkEnd w:id="26"/>
    <w:bookmarkStart w:id="27" w:name="X263eff7f4156bfdc0d9a79cb0906d4ecbd0ad23"/>
    <w:p>
      <w:pPr>
        <w:pStyle w:val="Heading2"/>
      </w:pPr>
      <w:r>
        <w:t xml:space="preserve">Key Performance Indicators (KPIs) for China Beijing</w:t>
      </w:r>
    </w:p>
    <w:p>
      <w:pPr>
        <w:pStyle w:val="FirstParagraph"/>
      </w:pPr>
      <w:r>
        <w:t xml:space="preserve">Banker will track success through metrics directly tied to the China Beijing market:</w:t>
      </w:r>
    </w:p>
    <w:p>
      <w:pPr>
        <w:numPr>
          <w:ilvl w:val="0"/>
          <w:numId w:val="1005"/>
        </w:numPr>
        <w:pStyle w:val="Compact"/>
      </w:pPr>
      <w:r>
        <w:rPr>
          <w:bCs/>
          <w:b/>
        </w:rPr>
        <w:t xml:space="preserve">User Acquisition Cost (UAC):</w:t>
      </w:r>
      <w:r>
        <w:t xml:space="preserve"> </w:t>
      </w:r>
      <w:r>
        <w:t xml:space="preserve">Target: ≤¥85 per user (Beijing average is ¥130).</w:t>
      </w:r>
    </w:p>
    <w:p>
      <w:pPr>
        <w:numPr>
          <w:ilvl w:val="0"/>
          <w:numId w:val="1005"/>
        </w:numPr>
        <w:pStyle w:val="Compact"/>
      </w:pPr>
      <w:r>
        <w:rPr>
          <w:bCs/>
          <w:b/>
        </w:rPr>
        <w:t xml:space="preserve">SME Loan Disbursement Rate:</w:t>
      </w:r>
      <w:r>
        <w:t xml:space="preserve"> </w:t>
      </w:r>
      <w:r>
        <w:t xml:space="preserve">Target: 40% of registered users within 6 months.</w:t>
      </w:r>
    </w:p>
    <w:p>
      <w:pPr>
        <w:numPr>
          <w:ilvl w:val="0"/>
          <w:numId w:val="1005"/>
        </w:numPr>
        <w:pStyle w:val="Compact"/>
      </w:pPr>
      <w:r>
        <w:rPr>
          <w:bCs/>
          <w:b/>
        </w:rPr>
        <w:t xml:space="preserve">App Engagement Rate:</w:t>
      </w:r>
      <w:r>
        <w:t xml:space="preserve"> </w:t>
      </w:r>
      <w:r>
        <w:t xml:space="preserve">Target: 22+ minutes daily (Beijing tech user benchmark: 18 minutes).</w:t>
      </w:r>
    </w:p>
    <w:p>
      <w:pPr>
        <w:numPr>
          <w:ilvl w:val="0"/>
          <w:numId w:val="1005"/>
        </w:numPr>
        <w:pStyle w:val="Compact"/>
      </w:pPr>
      <w:r>
        <w:rPr>
          <w:bCs/>
          <w:b/>
        </w:rPr>
        <w:t xml:space="preserve">CBIRC Compliance Score:</w:t>
      </w:r>
      <w:r>
        <w:t xml:space="preserve"> </w:t>
      </w:r>
      <w:r>
        <w:t xml:space="preserve">Maintain ≥99.5% audit score in Beijing regulatory checks.</w:t>
      </w:r>
    </w:p>
    <w:bookmarkEnd w:id="27"/>
    <w:bookmarkStart w:id="28" w:name="budget-allocation-beijing-focus"/>
    <w:p>
      <w:pPr>
        <w:pStyle w:val="Heading2"/>
      </w:pPr>
      <w:r>
        <w:t xml:space="preserve">Budget Allocation (Beijing Focus)</w:t>
      </w:r>
    </w:p>
    <w:p>
      <w:pPr>
        <w:pStyle w:val="FirstParagraph"/>
      </w:pPr>
      <w:r>
        <w:t xml:space="preserve">Total Investment: ¥350 million over 18 months. 70% allocated to digital channels proven effective in China Beijing (WeChat, Douyin), 30% to physical engagement. The budget prioritizes:</w:t>
      </w:r>
    </w:p>
    <w:p>
      <w:pPr>
        <w:numPr>
          <w:ilvl w:val="0"/>
          <w:numId w:val="1006"/>
        </w:numPr>
        <w:pStyle w:val="Compact"/>
      </w:pPr>
      <w:r>
        <w:t xml:space="preserve">Beijing-specific data partnerships (¥95M)</w:t>
      </w:r>
    </w:p>
    <w:p>
      <w:pPr>
        <w:numPr>
          <w:ilvl w:val="0"/>
          <w:numId w:val="1006"/>
        </w:numPr>
        <w:pStyle w:val="Compact"/>
      </w:pPr>
      <w:r>
        <w:t xml:space="preserve">Cultural localization of app interface and customer service (¥65M)</w:t>
      </w:r>
    </w:p>
    <w:p>
      <w:pPr>
        <w:numPr>
          <w:ilvl w:val="0"/>
          <w:numId w:val="1006"/>
        </w:numPr>
        <w:pStyle w:val="Compact"/>
      </w:pPr>
      <w:r>
        <w:t xml:space="preserve">Regulatory compliance team in Beijing (¥70M)</w:t>
      </w:r>
    </w:p>
    <w:bookmarkEnd w:id="28"/>
    <w:bookmarkStart w:id="29" w:name="X00bd6bd4146fb53cf09e7b6d09603dc69169aea"/>
    <w:p>
      <w:pPr>
        <w:pStyle w:val="Heading2"/>
      </w:pPr>
      <w:r>
        <w:t xml:space="preserve">Conclusion: Banker's China Beijing Imperative</w:t>
      </w:r>
    </w:p>
    <w:p>
      <w:pPr>
        <w:pStyle w:val="FirstParagraph"/>
      </w:pPr>
      <w:r>
        <w:t xml:space="preserve">The Marketing Plan for Banker is not merely a market entry strategy—it’s a calibrated response to China Beijing’s specific financial ecosystem. By embedding regulatory expertise, cultural nuance, and localized product features into every aspect of the Banker platform, we will transform from competitor to indispensable partner for Beijing’s business community. This plan positions Banker as the first choice for digital banking in China's most strategic city, setting a scalable blueprint for nationwide expansion while delivering measurable value to Beijing’s economic engine. Success in China Beijing isn’t just possible—it is the essential foundation for Banker’s national leadership.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Banker for China Beijing</dc:title>
  <dc:creator/>
  <dc:language>en</dc:language>
  <cp:keywords/>
  <dcterms:created xsi:type="dcterms:W3CDTF">2026-07-21T14:11:05Z</dcterms:created>
  <dcterms:modified xsi:type="dcterms:W3CDTF">2026-07-21T14:11:05Z</dcterms:modified>
</cp:coreProperties>
</file>

<file path=docProps/custom.xml><?xml version="1.0" encoding="utf-8"?>
<Properties xmlns="http://schemas.openxmlformats.org/officeDocument/2006/custom-properties" xmlns:vt="http://schemas.openxmlformats.org/officeDocument/2006/docPropsVTypes"/>
</file>