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X300a62895b196448d54495fa878fc6f901c4cff"/>
    <w:p>
      <w:pPr>
        <w:pStyle w:val="Heading1"/>
      </w:pPr>
      <w:r>
        <w:t xml:space="preserve">Comprehensive Marketing Plan for Banker: Establishing Leadership in China Guangzhou's Financial Ecosystem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</w:t>
      </w:r>
      <w:r>
        <w:t xml:space="preserve"> </w:t>
      </w:r>
      <w:r>
        <w:rPr>
          <w:bCs/>
          <w:b/>
        </w:rPr>
        <w:t xml:space="preserve">Banker</w:t>
      </w:r>
      <w:r>
        <w:t xml:space="preserve">, positioning itself as the premier financial services provider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. With Guangzhou's status as a global trade hub and economic powerhouse in Southern China, this plan leverages local market dynamics to capture 15% market share within three years. The strategy integrates digital innovation with hyper-localized customer engagement, specifically targeting Guangzhou's burgeoning middle class and SME sector.</w:t>
      </w:r>
      <w:r>
        <w:t xml:space="preserve"> </w:t>
      </w:r>
      <w:r>
        <w:rPr>
          <w:bCs/>
          <w:b/>
        </w:rPr>
        <w:t xml:space="preserve">Banker</w:t>
      </w:r>
      <w:r>
        <w:t xml:space="preserve">'s unique value proposition centers on seamless cross-border transaction capabilities for the Pearl River Delta region, directly addressing a critical gap in current banking services.</w:t>
      </w:r>
    </w:p>
    <w:bookmarkEnd w:id="20"/>
    <w:bookmarkStart w:id="21" w:name="X44a4f67c6afe80d9776b90e5e0cc6c2a9fdcf3f"/>
    <w:p>
      <w:pPr>
        <w:pStyle w:val="Heading2"/>
      </w:pPr>
      <w:r>
        <w:t xml:space="preserve">Situation Analysis: Guangzhou Market Dynamics</w:t>
      </w:r>
    </w:p>
    <w:p>
      <w:pPr>
        <w:pStyle w:val="FirstParagraph"/>
      </w:pPr>
      <w:r>
        <w:rPr>
          <w:bCs/>
          <w:b/>
        </w:rPr>
        <w:t xml:space="preserve">China Guangzhou</w:t>
      </w:r>
      <w:r>
        <w:t xml:space="preserve"> </w:t>
      </w:r>
      <w:r>
        <w:t xml:space="preserve">represents a $350 billion metropolitan economy with 15 million residents and 3.2 million registered SMEs – the backbone of Southern China's manufacturing and export industries. Current banking challenges include fragmented digital services, language barriers for foreign businesses, and limited cross-border payment solutions tailored to Guangzhou's trade patterns (especially with ASEAN nations). A recent industry report by McKinsey confirms 68% of local enterprises seek banks with integrated trade finance tools, yet only 22% of current providers offer such services. This creates a prime opportunity for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to differentiate through its Guangzhou-focused strategy.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rPr>
          <w:bCs/>
          <w:b/>
        </w:rPr>
        <w:t xml:space="preserve">Banker</w:t>
      </w:r>
      <w:r>
        <w:t xml:space="preserve">'s primary focus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 </w:t>
      </w:r>
      <w:r>
        <w:t xml:space="preserve">will be three high-value segments: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SME Owners (60% of target):</w:t>
      </w:r>
      <w:r>
        <w:t xml:space="preserve"> </w:t>
      </w:r>
      <w:r>
        <w:t xml:space="preserve">Export-oriented manufacturers and logistics firms needing efficient cross-border payments for ASEAN markets. They prioritize speed (under 24h settlement) and multilingual support.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High-Net-Worth Individuals (30%):</w:t>
      </w:r>
      <w:r>
        <w:t xml:space="preserve"> </w:t>
      </w:r>
      <w:r>
        <w:t xml:space="preserve">Guangzhou's growing affluent class requiring wealth management with integration to international markets, especially Hong Kong and Singapore.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Foreign Enterprises (10%):</w:t>
      </w:r>
      <w:r>
        <w:t xml:space="preserve"> </w:t>
      </w:r>
      <w:r>
        <w:t xml:space="preserve">Multinationals establishing regional HQs in Guangzhou seeking local banking partners with compliance expertise in China's evolving financial regulations.</w:t>
      </w:r>
    </w:p>
    <w:bookmarkEnd w:id="22"/>
    <w:bookmarkStart w:id="23" w:name="marketing-objectives-3-year-horizon"/>
    <w:p>
      <w:pPr>
        <w:pStyle w:val="Heading2"/>
      </w:pPr>
      <w:r>
        <w:t xml:space="preserve">Marketing Objectives (3-Year Horizon)</w:t>
      </w:r>
    </w:p>
    <w:p>
      <w:pPr>
        <w:numPr>
          <w:ilvl w:val="0"/>
          <w:numId w:val="1002"/>
        </w:numPr>
        <w:pStyle w:val="Compact"/>
      </w:pPr>
      <w:r>
        <w:t xml:space="preserve">Achieve 15% market share among SME banking services in Guangzhou by Year 3</w:t>
      </w:r>
    </w:p>
    <w:p>
      <w:pPr>
        <w:numPr>
          <w:ilvl w:val="0"/>
          <w:numId w:val="1002"/>
        </w:numPr>
        <w:pStyle w:val="Compact"/>
      </w:pPr>
      <w:r>
        <w:t xml:space="preserve">Acquire 50,000 active digital banking users within Guangzhou by Year 2</w:t>
      </w:r>
    </w:p>
    <w:p>
      <w:pPr>
        <w:numPr>
          <w:ilvl w:val="0"/>
          <w:numId w:val="1002"/>
        </w:numPr>
        <w:pStyle w:val="Compact"/>
      </w:pPr>
      <w:r>
        <w:t xml:space="preserve">Position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as the #1 bank for cross-border trade finance in Southern China (measured via industry surveys)</w:t>
      </w:r>
    </w:p>
    <w:bookmarkEnd w:id="23"/>
    <w:bookmarkStart w:id="28" w:name="X1127cccbaf2fbee81473492197832351a9709c4"/>
    <w:p>
      <w:pPr>
        <w:pStyle w:val="Heading2"/>
      </w:pPr>
      <w:r>
        <w:t xml:space="preserve">Strategic Pillars: The Banker-Guangzhou Integration Framework</w:t>
      </w:r>
    </w:p>
    <w:p>
      <w:pPr>
        <w:pStyle w:val="FirstParagraph"/>
      </w:pPr>
      <w:r>
        <w:t xml:space="preserve">This plan executes through four interconnected pillars, all deeply anchored in Guangzhou's unique context:</w:t>
      </w:r>
    </w:p>
    <w:bookmarkStart w:id="24" w:name="Xf668211d5fbae2cacde60b5295127c12d406b2a"/>
    <w:p>
      <w:pPr>
        <w:pStyle w:val="Heading3"/>
      </w:pPr>
      <w:r>
        <w:t xml:space="preserve">1. Product Innovation for Guangzhou's Trade Ecosystem</w:t>
      </w:r>
    </w:p>
    <w:p>
      <w:pPr>
        <w:pStyle w:val="FirstParagraph"/>
      </w:pPr>
      <w:r>
        <w:rPr>
          <w:bCs/>
          <w:b/>
        </w:rPr>
        <w:t xml:space="preserve">Banker</w:t>
      </w:r>
      <w:r>
        <w:t xml:space="preserve"> </w:t>
      </w:r>
      <w:r>
        <w:t xml:space="preserve">will launch "Guangzhou TradeLink" – an AI-powered platform integrated with Guangdong Customs and Shenzhen-Hong Kong Stock Exchange systems. Features include:</w:t>
      </w:r>
    </w:p>
    <w:p>
      <w:pPr>
        <w:numPr>
          <w:ilvl w:val="0"/>
          <w:numId w:val="1003"/>
        </w:numPr>
        <w:pStyle w:val="Compact"/>
      </w:pPr>
      <w:r>
        <w:t xml:space="preserve">Real-time shipment tracking linked to payment releases</w:t>
      </w:r>
    </w:p>
    <w:p>
      <w:pPr>
        <w:numPr>
          <w:ilvl w:val="0"/>
          <w:numId w:val="1003"/>
        </w:numPr>
        <w:pStyle w:val="Compact"/>
      </w:pPr>
      <w:r>
        <w:t xml:space="preserve">Simplified multi-currency settlements for ASEAN trade routes (using CNY/USD/EUR/RMB)</w:t>
      </w:r>
    </w:p>
    <w:p>
      <w:pPr>
        <w:numPr>
          <w:ilvl w:val="0"/>
          <w:numId w:val="1003"/>
        </w:numPr>
        <w:pStyle w:val="Compact"/>
      </w:pPr>
      <w:r>
        <w:t xml:space="preserve">Local Cantonese-speaking digital support team based in Guangzhou</w:t>
      </w:r>
    </w:p>
    <w:bookmarkEnd w:id="24"/>
    <w:bookmarkStart w:id="25" w:name="hyper-localized-pricing-strategy"/>
    <w:p>
      <w:pPr>
        <w:pStyle w:val="Heading3"/>
      </w:pPr>
      <w:r>
        <w:t xml:space="preserve">2. Hyper-Localized Pricing Strategy</w:t>
      </w:r>
    </w:p>
    <w:p>
      <w:pPr>
        <w:pStyle w:val="FirstParagraph"/>
      </w:pPr>
      <w:r>
        <w:t xml:space="preserve">Avoiding standard banking pricing models,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introduces: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SME Tiered Plan:</w:t>
      </w:r>
      <w:r>
        <w:t xml:space="preserve"> </w:t>
      </w:r>
      <w:r>
        <w:t xml:space="preserve">0% cross-border fees for first $50k/month transactions (vs. industry average 1.2%)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Guangzhou Partnership Bonus:</w:t>
      </w:r>
      <w:r>
        <w:t xml:space="preserve"> </w:t>
      </w:r>
      <w:r>
        <w:t xml:space="preserve">Additional 20% cashback on trade finance for members of Guangdong Chamber of Commerce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Onboarding Discount:</w:t>
      </w:r>
      <w:r>
        <w:t xml:space="preserve"> </w:t>
      </w:r>
      <w:r>
        <w:t xml:space="preserve">Waived account fees for users completing digital KYC via Guangzhou's "Smart City" portal</w:t>
      </w:r>
    </w:p>
    <w:bookmarkEnd w:id="25"/>
    <w:bookmarkStart w:id="26" w:name="guangzhou-centric-distribution-channels"/>
    <w:p>
      <w:pPr>
        <w:pStyle w:val="Heading3"/>
      </w:pPr>
      <w:r>
        <w:t xml:space="preserve">3. Guangzhou-Centric Distribution Channels</w:t>
      </w:r>
    </w:p>
    <w:p>
      <w:pPr>
        <w:pStyle w:val="FirstParagraph"/>
      </w:pPr>
      <w:r>
        <w:t xml:space="preserve">Redefining "place" strategy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Physical Presence:</w:t>
      </w:r>
      <w:r>
        <w:t xml:space="preserve"> </w:t>
      </w:r>
      <w:r>
        <w:t xml:space="preserve">Flagship branch in Tianhe District (Guangzhou's financial core) with 24/7 Mandarin/Cantonese service, plus 3 kiosks at key logistics hubs (Nansha Port, Baiyun Airport)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Digital Dominance:</w:t>
      </w:r>
      <w:r>
        <w:t xml:space="preserve"> </w:t>
      </w:r>
      <w:r>
        <w:t xml:space="preserve">Exclusive integration with Guangzhou's municipal mobile app "Guangzhou Pass" for instant account opening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Strategic Alliances:</w:t>
      </w:r>
      <w:r>
        <w:t xml:space="preserve"> </w:t>
      </w:r>
      <w:r>
        <w:t xml:space="preserve">Co-branded trade financing with 12 major Guangzhou industrial parks (e.g., Huangpu Science City)</w:t>
      </w:r>
    </w:p>
    <w:bookmarkEnd w:id="26"/>
    <w:bookmarkStart w:id="27" w:name="culturally-resonant-promotion-strategy"/>
    <w:p>
      <w:pPr>
        <w:pStyle w:val="Heading3"/>
      </w:pPr>
      <w:r>
        <w:t xml:space="preserve">4. Culturally Resonant Promotion Strategy</w:t>
      </w:r>
    </w:p>
    <w:p>
      <w:pPr>
        <w:pStyle w:val="FirstParagraph"/>
      </w:pPr>
      <w:r>
        <w:t xml:space="preserve">Moving beyond generic campaigns,</w:t>
      </w:r>
      <w:r>
        <w:t xml:space="preserve"> </w:t>
      </w:r>
      <w:r>
        <w:rPr>
          <w:bCs/>
          <w:b/>
        </w:rPr>
        <w:t xml:space="preserve">Banker</w:t>
      </w:r>
      <w:r>
        <w:t xml:space="preserve">'s promotional efforts will:</w:t>
      </w:r>
    </w:p>
    <w:p>
      <w:pPr>
        <w:numPr>
          <w:ilvl w:val="0"/>
          <w:numId w:val="1006"/>
        </w:numPr>
        <w:pStyle w:val="Compact"/>
      </w:pPr>
      <w:r>
        <w:t xml:space="preserve">Leverage Guangzhou's cultural identity through "Cantonese Business Wisdom" campaign – featuring local entrepreneurs on WeChat/Weibo sharing trade success stories</w:t>
      </w:r>
    </w:p>
    <w:p>
      <w:pPr>
        <w:numPr>
          <w:ilvl w:val="0"/>
          <w:numId w:val="1006"/>
        </w:numPr>
        <w:pStyle w:val="Compact"/>
      </w:pPr>
      <w:r>
        <w:t xml:space="preserve">Host quarterly "Trade Pulse" forums at Canton Fair in Guangzhou with industry experts</w:t>
      </w:r>
    </w:p>
    <w:p>
      <w:pPr>
        <w:numPr>
          <w:ilvl w:val="0"/>
          <w:numId w:val="1006"/>
        </w:numPr>
        <w:pStyle w:val="Compact"/>
      </w:pPr>
      <w:r>
        <w:t xml:space="preserve">Collaborate with renowned Guangdong Opera troupes for promotional videos (blending traditional art with modern finance)</w:t>
      </w:r>
    </w:p>
    <w:bookmarkEnd w:id="27"/>
    <w:bookmarkEnd w:id="28"/>
    <w:bookmarkStart w:id="29" w:name="X15d8758521ffa8e24730bf7ece0acaf29e0016e"/>
    <w:p>
      <w:pPr>
        <w:pStyle w:val="Heading2"/>
      </w:pPr>
      <w:r>
        <w:t xml:space="preserve">Budget Allocation: Guangzhou-First Investment</w:t>
      </w:r>
    </w:p>
    <w:p>
      <w:pPr>
        <w:pStyle w:val="FirstParagraph"/>
      </w:pPr>
      <w:r>
        <w:t xml:space="preserve">Initial investment of RMB 85 million (Year 1) prioritizes:</w:t>
      </w:r>
    </w:p>
    <w:p>
      <w:pPr>
        <w:numPr>
          <w:ilvl w:val="0"/>
          <w:numId w:val="1007"/>
        </w:numPr>
        <w:pStyle w:val="Compact"/>
      </w:pPr>
      <w:r>
        <w:t xml:space="preserve">55% Product Development (Guangzhou TradeLink platform customization)</w:t>
      </w:r>
    </w:p>
    <w:p>
      <w:pPr>
        <w:numPr>
          <w:ilvl w:val="0"/>
          <w:numId w:val="1007"/>
        </w:numPr>
        <w:pStyle w:val="Compact"/>
      </w:pPr>
      <w:r>
        <w:t xml:space="preserve">25% Localized Marketing (Guangzhou-specific digital campaigns, cultural partnerships)</w:t>
      </w:r>
    </w:p>
    <w:p>
      <w:pPr>
        <w:numPr>
          <w:ilvl w:val="0"/>
          <w:numId w:val="1007"/>
        </w:numPr>
        <w:pStyle w:val="Compact"/>
      </w:pPr>
      <w:r>
        <w:t xml:space="preserve">15% Physical Infrastructure (Tianhe branch, logistics hub kiosks)</w:t>
      </w:r>
    </w:p>
    <w:p>
      <w:pPr>
        <w:numPr>
          <w:ilvl w:val="0"/>
          <w:numId w:val="1007"/>
        </w:numPr>
        <w:pStyle w:val="Compact"/>
      </w:pPr>
      <w:r>
        <w:t xml:space="preserve">5% Community Engagement (SME workshops at Guangzhou University hubs)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in China Guangzhou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Foundation (Months 1-3)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Q1-Q2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Licensing completion with Guangdong Banking Regulatory Bureau; Tianhe branch construction begins; SME survey deployment across Guangzhou industrial zones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Launch (Months 4-6)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Guangzhou TradeLink beta launch with 50 anchor SMEs; First "Trade Pulse" forum at Canton Fair; Cultural partnership activation with Guangdong Opera House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 (Months 7-18)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Q4 2024-Q3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Scaled SME acquisition via logistics hub kiosks; Integration with Guangzhou Smart City Platform; Expansion to Nansha Free Trade Zone clients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Maturity (Months 19-36)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Q4 2025-Q4 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share reach (15%); Cross-border wealth management product launch for Guangzhou HNWIs; ASEAN trade corridor expansion from Guangzhou base</w:t>
            </w:r>
          </w:p>
        </w:tc>
      </w:tr>
    </w:tbl>
    <w:bookmarkEnd w:id="30"/>
    <w:bookmarkStart w:id="31" w:name="evaluation-control-mechanisms"/>
    <w:p>
      <w:pPr>
        <w:pStyle w:val="Heading2"/>
      </w:pPr>
      <w:r>
        <w:t xml:space="preserve">Evaluation &amp; Control Mechanisms</w:t>
      </w:r>
    </w:p>
    <w:p>
      <w:pPr>
        <w:pStyle w:val="FirstParagraph"/>
      </w:pPr>
      <w:r>
        <w:t xml:space="preserve">Progress will be monitored through Guangzhou-specific KPIs: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Guangzhou Adoption Rate:</w:t>
      </w:r>
      <w:r>
        <w:t xml:space="preserve"> </w:t>
      </w:r>
      <w:r>
        <w:t xml:space="preserve">Monthly active users from Guangzhou geographic data (vs. city-wide banking average)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SME Retention Score:</w:t>
      </w:r>
      <w:r>
        <w:t xml:space="preserve"> </w:t>
      </w:r>
      <w:r>
        <w:t xml:space="preserve">Quarterly NPS surveys with Guangzhou SME clients (target: 75+)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Cross-Border Transaction Volume:</w:t>
      </w:r>
      <w:r>
        <w:t xml:space="preserve"> </w:t>
      </w:r>
      <w:r>
        <w:t xml:space="preserve">Month-over-month growth in trade finance transactions originating from Guangzhou</w:t>
      </w:r>
    </w:p>
    <w:p>
      <w:pPr>
        <w:pStyle w:val="FirstParagraph"/>
      </w:pPr>
      <w:r>
        <w:t xml:space="preserve">Monthly steering committee reviews will adjust tactics based on real-time Guangzhou market feedback, ensuring the Marketing Plan remains agile to local economic shifts. The success of this plan hinges on</w:t>
      </w:r>
      <w:r>
        <w:t xml:space="preserve"> </w:t>
      </w:r>
      <w:r>
        <w:rPr>
          <w:bCs/>
          <w:b/>
        </w:rPr>
        <w:t xml:space="preserve">Banker</w:t>
      </w:r>
      <w:r>
        <w:t xml:space="preserve">'s unwavering commitment to embedding itself within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's economic fabric – not merely operating in it.</w:t>
      </w:r>
    </w:p>
    <w:bookmarkEnd w:id="31"/>
    <w:bookmarkStart w:id="32" w:name="Xf903e539fae2b2c52bab5a417dbabfcab7e8c13"/>
    <w:p>
      <w:pPr>
        <w:pStyle w:val="Heading2"/>
      </w:pPr>
      <w:r>
        <w:t xml:space="preserve">Conclusion: Banking the Future of Guangzhou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as the essential financial partner for Guangzhou's next decade of growth. By designing every strategy around Guangzhou's trade rhythms, cultural nuances, and regulatory environment – rather than generic banking approaches –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will establish an unassailable leadership position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. The plan delivers not just a financial product, but a localized ecosystem where businesses thrive. In the heart of Southern China's economic engine,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won't just be another bank; it will become synonymous with Guangzhou's global trade success.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Banker in China Guangzhou</dc:title>
  <dc:creator/>
  <dc:language>en</dc:language>
  <cp:keywords/>
  <dcterms:created xsi:type="dcterms:W3CDTF">2026-07-21T14:52:39Z</dcterms:created>
  <dcterms:modified xsi:type="dcterms:W3CDTF">2026-07-21T14:52:39Z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