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Marketing</w:t>
      </w:r>
      <w:r>
        <w:t xml:space="preserve"> </w:t>
      </w:r>
      <w:r>
        <w:t xml:space="preserve">Plan</w:t>
      </w:r>
      <w:r>
        <w:t xml:space="preserve"> </w:t>
      </w:r>
      <w:r>
        <w:t xml:space="preserve">-</w:t>
      </w:r>
      <w:r>
        <w:t xml:space="preserve"> </w:t>
      </w:r>
      <w:r>
        <w:t xml:space="preserve">Addis</w:t>
      </w:r>
      <w:r>
        <w:t xml:space="preserve"> </w:t>
      </w:r>
      <w:r>
        <w:t xml:space="preserve">Ababa,</w:t>
      </w:r>
      <w:r>
        <w:t xml:space="preserve"> </w:t>
      </w:r>
      <w:r>
        <w:t xml:space="preserve">Ethiopia</w:t>
      </w:r>
    </w:p>
    <w:bookmarkStart w:id="33" w:name="X60769d75ab718ec37ccf9b261fcbee770200695"/>
    <w:p>
      <w:pPr>
        <w:pStyle w:val="Heading1"/>
      </w:pPr>
      <w:r>
        <w:t xml:space="preserve">Marketing Plan for Banker: Revolutionizing Financial Services in Addis Ababa, Ethiopia</w:t>
      </w:r>
    </w:p>
    <w:bookmarkStart w:id="20" w:name="i.-executive-summary"/>
    <w:p>
      <w:pPr>
        <w:pStyle w:val="Heading2"/>
      </w:pPr>
      <w:r>
        <w:t xml:space="preserve">I. Executive Summary</w:t>
      </w:r>
    </w:p>
    <w:p>
      <w:pPr>
        <w:pStyle w:val="FirstParagraph"/>
      </w:pPr>
      <w:r>
        <w:t xml:space="preserve">This comprehensive marketing plan outlines the strategic entry and growth framework for</w:t>
      </w:r>
      <w:r>
        <w:t xml:space="preserve"> </w:t>
      </w:r>
      <w:r>
        <w:rPr>
          <w:iCs/>
          <w:i/>
        </w:rPr>
        <w:t xml:space="preserve">Banker</w:t>
      </w:r>
      <w:r>
        <w:t xml:space="preserve">, a premier financial institution launching operations in Addis Ababa, Ethiopia. Targeting Ethiopia's rapidly expanding urban economy with a focus on digital-first banking solutions, this plan establishes Banker as the preferred financial partner for 1 million residents by 2027. With Addis Ababa serving as Ethiopia's economic and administrative hub—home to over 5 million people and driving 35% of national GDP—the strategic timing aligns with the government's Vision 2030 digital transformation goals. This plan details market entry tactics, customer acquisition strategies, and measurable KPIs tailored to Ethiopia's unique financial landscape.</w:t>
      </w:r>
    </w:p>
    <w:bookmarkEnd w:id="20"/>
    <w:bookmarkStart w:id="21" w:name="ii.-market-analysis-addis-ababa-context"/>
    <w:p>
      <w:pPr>
        <w:pStyle w:val="Heading2"/>
      </w:pPr>
      <w:r>
        <w:t xml:space="preserve">II. Market Analysis: Addis Ababa Context</w:t>
      </w:r>
    </w:p>
    <w:p>
      <w:pPr>
        <w:pStyle w:val="FirstParagraph"/>
      </w:pPr>
      <w:r>
        <w:t xml:space="preserve">Addis Ababa represents a high-potential market with 68% of Ethiopians under 30, accelerating mobile penetration (75% smartphone adoption), and limited traditional banking access for SMEs. Current challenges include:</w:t>
      </w:r>
    </w:p>
    <w:p>
      <w:pPr>
        <w:numPr>
          <w:ilvl w:val="0"/>
          <w:numId w:val="1001"/>
        </w:numPr>
        <w:pStyle w:val="Compact"/>
      </w:pPr>
      <w:r>
        <w:t xml:space="preserve">Only 35% of Addis residents have formal bank accounts (World Bank, 2023)</w:t>
      </w:r>
    </w:p>
    <w:p>
      <w:pPr>
        <w:numPr>
          <w:ilvl w:val="0"/>
          <w:numId w:val="1001"/>
        </w:numPr>
        <w:pStyle w:val="Compact"/>
      </w:pPr>
      <w:r>
        <w:t xml:space="preserve">SMEs face 48-hour loan approval delays from legacy banks</w:t>
      </w:r>
    </w:p>
    <w:p>
      <w:pPr>
        <w:numPr>
          <w:ilvl w:val="0"/>
          <w:numId w:val="1001"/>
        </w:numPr>
        <w:pStyle w:val="Compact"/>
      </w:pPr>
      <w:r>
        <w:t xml:space="preserve">Overwhelming reliance on cash transactions despite Ethiopia's mobile money growth (16.7% CAGR)</w:t>
      </w:r>
    </w:p>
    <w:bookmarkEnd w:id="21"/>
    <w:bookmarkStart w:id="22" w:name="iii.-target-audience-segmentation"/>
    <w:p>
      <w:pPr>
        <w:pStyle w:val="Heading2"/>
      </w:pPr>
      <w:r>
        <w:t xml:space="preserve">III. Target Audience Segmentation</w:t>
      </w:r>
    </w:p>
    <w:p>
      <w:pPr>
        <w:pStyle w:val="FirstParagraph"/>
      </w:pPr>
      <w:r>
        <w:t xml:space="preserve">Segment</w:t>
      </w:r>
    </w:p>
    <w:p>
      <w:pPr>
        <w:pStyle w:val="BodyText"/>
      </w:pPr>
      <w:r>
        <w:t xml:space="preserve">Size (Addis Ababa)</w:t>
      </w:r>
    </w:p>
    <w:p>
      <w:pPr>
        <w:pStyle w:val="BodyText"/>
      </w:pPr>
      <w:r>
        <w:t xml:space="preserve">Key Needs</w:t>
      </w:r>
    </w:p>
    <w:p>
      <w:pPr>
        <w:pStyle w:val="BodyText"/>
      </w:pPr>
      <w:r>
        <w:t xml:space="preserve">Marketing Approach</w:t>
      </w:r>
    </w:p>
    <w:p>
      <w:pPr>
        <w:pStyle w:val="BodyText"/>
      </w:pPr>
      <w:r>
        <w:t xml:space="preserve">SME Entrepreneurs (30-45 yrs)</w:t>
      </w:r>
    </w:p>
    <w:p>
      <w:pPr>
        <w:pStyle w:val="BodyText"/>
      </w:pPr>
      <w:r>
        <w:t xml:space="preserve">215,000 businesses</w:t>
      </w:r>
    </w:p>
    <w:p>
      <w:pPr>
        <w:pStyle w:val="BodyText"/>
      </w:pPr>
      <w:r>
        <w:t xml:space="preserve">Rapid credit access, digital accounting tools, FX services for imports</w:t>
      </w:r>
    </w:p>
    <w:p>
      <w:pPr>
        <w:pStyle w:val="BodyText"/>
      </w:pPr>
      <w:r>
        <w:t xml:space="preserve">Collaborative workshops with Addis Chamber of Commerce; app-based loan pre-approval</w:t>
      </w:r>
    </w:p>
    <w:p>
      <w:pPr>
        <w:pStyle w:val="BodyText"/>
      </w:pPr>
      <w:r>
        <w:t xml:space="preserve">Youth (18-29 yrs)</w:t>
      </w:r>
    </w:p>
    <w:p>
      <w:pPr>
        <w:pStyle w:val="BodyText"/>
      </w:pPr>
      <w:r>
        <w:t xml:space="preserve">1.8 million residents</w:t>
      </w:r>
    </w:p>
    <w:p>
      <w:pPr>
        <w:pStyle w:val="BodyText"/>
      </w:pPr>
      <w:r>
        <w:t xml:space="preserve">Digital banking, micro-investments, mobile payment integration</w:t>
      </w:r>
    </w:p>
    <w:p>
      <w:pPr>
        <w:pStyle w:val="BodyText"/>
      </w:pPr>
      <w:r>
        <w:t xml:space="preserve">TikTok/Telegram campaigns; university partnerships with free financial literacy modules</w:t>
      </w:r>
    </w:p>
    <w:p>
      <w:pPr>
        <w:pStyle w:val="BodyText"/>
      </w:pPr>
      <w:r>
        <w:t xml:space="preserve">Expatriate Community (Foreign Nationals)</w:t>
      </w:r>
    </w:p>
    <w:p>
      <w:pPr>
        <w:pStyle w:val="BodyText"/>
      </w:pPr>
      <w:r>
        <w:t xml:space="preserve">48,000 residents</w:t>
      </w:r>
    </w:p>
    <w:p>
      <w:pPr>
        <w:pStyle w:val="BodyText"/>
      </w:pPr>
      <w:r>
        <w:rPr>
          <w:bCs/>
          <w:b/>
        </w:rPr>
        <w:t xml:space="preserve">Seamless international transfers, multi-currency accounts</w:t>
      </w:r>
    </w:p>
    <w:p>
      <w:pPr>
        <w:pStyle w:val="BodyText"/>
      </w:pPr>
      <w:r>
        <w:t xml:space="preserve">Cross-border partnership with M-Pesa; embassy network outreach</w:t>
      </w:r>
    </w:p>
    <w:bookmarkEnd w:id="22"/>
    <w:bookmarkStart w:id="23" w:name="iv.-marketing-objectives-2024-2027"/>
    <w:p>
      <w:pPr>
        <w:pStyle w:val="Heading2"/>
      </w:pPr>
      <w:r>
        <w:t xml:space="preserve">IV. Marketing Objectives (2024-2027)</w:t>
      </w:r>
    </w:p>
    <w:p>
      <w:pPr>
        <w:numPr>
          <w:ilvl w:val="0"/>
          <w:numId w:val="1002"/>
        </w:numPr>
        <w:pStyle w:val="Compact"/>
      </w:pPr>
      <w:r>
        <w:t xml:space="preserve">Acquire 150,000 active digital banking accounts within 18 months of launch</w:t>
      </w:r>
    </w:p>
    <w:p>
      <w:pPr>
        <w:numPr>
          <w:ilvl w:val="0"/>
          <w:numId w:val="1002"/>
        </w:numPr>
        <w:pStyle w:val="Compact"/>
      </w:pPr>
      <w:r>
        <w:t xml:space="preserve">Secure 35% market share in SME loan disbursements within Addis Ababa by Year 3</w:t>
      </w:r>
    </w:p>
    <w:p>
      <w:pPr>
        <w:numPr>
          <w:ilvl w:val="0"/>
          <w:numId w:val="1002"/>
        </w:numPr>
        <w:pStyle w:val="Compact"/>
      </w:pPr>
      <w:r>
        <w:t xml:space="preserve">Generate 75% of customer acquisition through mobile channels (vs. industry average 40%)</w:t>
      </w:r>
    </w:p>
    <w:p>
      <w:pPr>
        <w:numPr>
          <w:ilvl w:val="0"/>
          <w:numId w:val="1002"/>
        </w:numPr>
        <w:pStyle w:val="Compact"/>
      </w:pPr>
      <w:r>
        <w:t xml:space="preserve">Establish Banker as top-rated financial institution on local platforms (e.g., Addis Ababa Business Review) within 2 years</w:t>
      </w:r>
    </w:p>
    <w:bookmarkEnd w:id="23"/>
    <w:bookmarkStart w:id="28" w:name="X9f0becc71375507060d69647152d62cfd1e5a2a"/>
    <w:p>
      <w:pPr>
        <w:pStyle w:val="Heading2"/>
      </w:pPr>
      <w:r>
        <w:t xml:space="preserve">V. Core Marketing Strategies: The "Banker" Advantage</w:t>
      </w:r>
    </w:p>
    <w:bookmarkStart w:id="24" w:name="Xc1c369806a1b5325aba4ea586a950f67d49875f"/>
    <w:p>
      <w:pPr>
        <w:pStyle w:val="Heading3"/>
      </w:pPr>
      <w:r>
        <w:t xml:space="preserve">A. Product Strategy: Ethiopia-Optimized Solutions</w:t>
      </w:r>
    </w:p>
    <w:p>
      <w:pPr>
        <w:pStyle w:val="FirstParagraph"/>
      </w:pPr>
      <w:r>
        <w:t xml:space="preserve">Banker introduces three pillars addressing Addis Ababa's specific gaps:</w:t>
      </w:r>
    </w:p>
    <w:p>
      <w:pPr>
        <w:numPr>
          <w:ilvl w:val="0"/>
          <w:numId w:val="1003"/>
        </w:numPr>
        <w:pStyle w:val="Compact"/>
      </w:pPr>
      <w:r>
        <w:rPr>
          <w:bCs/>
          <w:b/>
        </w:rPr>
        <w:t xml:space="preserve">Wakaf Digital Wallet:</w:t>
      </w:r>
      <w:r>
        <w:t xml:space="preserve"> </w:t>
      </w:r>
      <w:r>
        <w:t xml:space="preserve">Cashless payments with zero transaction fees for transactions under ETB 5,000 (aligned with Ethiopia's cash-reduction policy)</w:t>
      </w:r>
    </w:p>
    <w:p>
      <w:pPr>
        <w:numPr>
          <w:ilvl w:val="0"/>
          <w:numId w:val="1003"/>
        </w:numPr>
        <w:pStyle w:val="Compact"/>
      </w:pPr>
      <w:r>
        <w:rPr>
          <w:bCs/>
          <w:b/>
        </w:rPr>
        <w:t xml:space="preserve">SME Growth Loan:</w:t>
      </w:r>
      <w:r>
        <w:t xml:space="preserve"> </w:t>
      </w:r>
      <w:r>
        <w:t xml:space="preserve">AI-driven credit scoring using mobile data (call logs, utility payments) for 24-hour approvals</w:t>
      </w:r>
    </w:p>
    <w:bookmarkEnd w:id="24"/>
    <w:bookmarkStart w:id="25" w:name="Xbd85d1f7eb29ce3bc84ac7e1a24793d558aff0e"/>
    <w:p>
      <w:pPr>
        <w:pStyle w:val="Heading3"/>
      </w:pPr>
      <w:r>
        <w:t xml:space="preserve">B. Pricing Strategy: Tiered Value-Based Model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Banker Price</w:t>
            </w:r>
          </w:p>
        </w:tc>
        <w:tc>
          <w:tcPr/>
          <w:p>
            <w:pPr>
              <w:pStyle w:val="Compact"/>
              <w:jc w:val="left"/>
            </w:pPr>
            <w:r>
              <w:t xml:space="preserve">Competitor Avg.</w:t>
            </w:r>
          </w:p>
        </w:tc>
      </w:tr>
      <w:tr>
        <w:tc>
          <w:tcPr/>
          <w:p>
            <w:pPr>
              <w:pStyle w:val="Compact"/>
              <w:jc w:val="left"/>
            </w:pPr>
            <w:r>
              <w:t xml:space="preserve">SME Loan (ETB 50k-250k)</w:t>
            </w:r>
          </w:p>
        </w:tc>
        <w:tc>
          <w:tcPr/>
          <w:p>
            <w:pPr>
              <w:pStyle w:val="Compact"/>
              <w:jc w:val="left"/>
            </w:pPr>
            <w:r>
              <w:t xml:space="preserve">18% p.a. (fixed)</w:t>
            </w:r>
          </w:p>
        </w:tc>
        <w:tc>
          <w:tcPr/>
          <w:p>
            <w:pPr>
              <w:pStyle w:val="Compact"/>
              <w:jc w:val="left"/>
            </w:pPr>
            <w:r>
              <w:t xml:space="preserve">24-30% p.a.</w:t>
            </w:r>
          </w:p>
        </w:tc>
      </w:tr>
      <w:tr>
        <w:tc>
          <w:tcPr/>
          <w:p>
            <w:pPr>
              <w:pStyle w:val="Compact"/>
              <w:jc w:val="left"/>
            </w:pPr>
            <w:r>
              <w:t xml:space="preserve">International Transfer</w:t>
            </w:r>
          </w:p>
        </w:tc>
        <w:tc>
          <w:tcPr/>
          <w:p>
            <w:pPr>
              <w:pStyle w:val="Compact"/>
              <w:jc w:val="left"/>
            </w:pPr>
            <w:r>
              <w:t xml:space="preserve">ETB 75 + 0.75% fee</w:t>
            </w:r>
          </w:p>
        </w:tc>
        <w:tc>
          <w:tcPr/>
          <w:p>
            <w:pPr>
              <w:pStyle w:val="Compact"/>
              <w:jc w:val="left"/>
            </w:pPr>
            <w:r>
              <w:t xml:space="preserve">ETB 120 + 1.5% fee</w:t>
            </w:r>
          </w:p>
        </w:tc>
      </w:tr>
      <w:tr>
        <w:tc>
          <w:tcPr/>
          <w:p>
            <w:pPr>
              <w:pStyle w:val="Compact"/>
              <w:jc w:val="left"/>
            </w:pPr>
            <w:r>
              <w:t xml:space="preserve">Digital Account Maintenance</w:t>
            </w:r>
          </w:p>
        </w:tc>
        <w:tc>
          <w:tcPr/>
          <w:p>
            <w:pPr>
              <w:pStyle w:val="Compact"/>
              <w:jc w:val="left"/>
            </w:pPr>
            <w:r>
              <w:t xml:space="preserve">Free for basic accounts</w:t>
            </w:r>
          </w:p>
        </w:tc>
        <w:tc>
          <w:tcPr/>
          <w:p>
            <w:pPr>
              <w:pStyle w:val="Compact"/>
              <w:jc w:val="left"/>
            </w:pPr>
            <w:r>
              <w:t xml:space="preserve">ETB 30-50/month</w:t>
            </w:r>
          </w:p>
        </w:tc>
      </w:tr>
    </w:tbl>
    <w:bookmarkEnd w:id="25"/>
    <w:bookmarkStart w:id="26" w:name="X562a0e86837f6fbf16618d4ccd13b25651bc04c"/>
    <w:p>
      <w:pPr>
        <w:pStyle w:val="Heading3"/>
      </w:pPr>
      <w:r>
        <w:t xml:space="preserve">C. Place &amp; Digital Distribution: Ethiopia's Infrastructure Fit</w:t>
      </w:r>
    </w:p>
    <w:p>
      <w:pPr>
        <w:pStyle w:val="FirstParagraph"/>
      </w:pPr>
      <w:r>
        <w:t xml:space="preserve">Beyond physical branches, Banker leverages Addis Ababa's digital ecosystem:</w:t>
      </w:r>
    </w:p>
    <w:p>
      <w:pPr>
        <w:numPr>
          <w:ilvl w:val="0"/>
          <w:numId w:val="1004"/>
        </w:numPr>
        <w:pStyle w:val="Compact"/>
      </w:pPr>
      <w:r>
        <w:rPr>
          <w:bCs/>
          <w:b/>
        </w:rPr>
        <w:t xml:space="preserve">Agent Network:</w:t>
      </w:r>
      <w:r>
        <w:t xml:space="preserve"> </w:t>
      </w:r>
      <w:r>
        <w:t xml:space="preserve">200+ partnerships with existing telecom kiosks (Ethio Telecom, Safaricom) across all 11 Addis sub-cities</w:t>
      </w:r>
    </w:p>
    <w:p>
      <w:pPr>
        <w:numPr>
          <w:ilvl w:val="0"/>
          <w:numId w:val="1004"/>
        </w:numPr>
        <w:pStyle w:val="Compact"/>
      </w:pPr>
      <w:r>
        <w:rPr>
          <w:bCs/>
          <w:b/>
        </w:rPr>
        <w:t xml:space="preserve">Digital-Only Launch:</w:t>
      </w:r>
      <w:r>
        <w:t xml:space="preserve"> </w:t>
      </w:r>
      <w:r>
        <w:t xml:space="preserve">No physical branches in Year 1; app-first strategy using Ethiopia's dominant mobile platforms (Telegram, WhatsApp)</w:t>
      </w:r>
    </w:p>
    <w:p>
      <w:pPr>
        <w:numPr>
          <w:ilvl w:val="0"/>
          <w:numId w:val="1004"/>
        </w:numPr>
        <w:pStyle w:val="Compact"/>
      </w:pPr>
      <w:r>
        <w:rPr>
          <w:bCs/>
          <w:b/>
        </w:rPr>
        <w:t xml:space="preserve">Community Hubs:</w:t>
      </w:r>
      <w:r>
        <w:t xml:space="preserve"> </w:t>
      </w:r>
      <w:r>
        <w:t xml:space="preserve">Collaborate with Addis Ababa City Administration for "Financial Inclusion Corners" in public markets</w:t>
      </w:r>
    </w:p>
    <w:bookmarkEnd w:id="26"/>
    <w:bookmarkStart w:id="27" w:name="Xdc37f766a02c3f6fa720b8713d753579010c4d2"/>
    <w:p>
      <w:pPr>
        <w:pStyle w:val="Heading3"/>
      </w:pPr>
      <w:r>
        <w:t xml:space="preserve">D. Promotion Strategy: Culturally Resonant Campaigns</w:t>
      </w:r>
    </w:p>
    <w:p>
      <w:pPr>
        <w:pStyle w:val="FirstParagraph"/>
      </w:pPr>
      <w:r>
        <w:t xml:space="preserve">Bank's localised campaigns avoid Western financial jargon, using Amharic and Oromo dialects:</w:t>
      </w:r>
    </w:p>
    <w:p>
      <w:pPr>
        <w:numPr>
          <w:ilvl w:val="0"/>
          <w:numId w:val="1005"/>
        </w:numPr>
        <w:pStyle w:val="Compact"/>
      </w:pPr>
      <w:r>
        <w:rPr>
          <w:bCs/>
          <w:b/>
        </w:rPr>
        <w:t xml:space="preserve">"Banker = Buna" (Ethiopian for "Bread"):</w:t>
      </w:r>
      <w:r>
        <w:t xml:space="preserve"> </w:t>
      </w:r>
      <w:r>
        <w:t xml:space="preserve">Ad campaign showing how banking is as essential as daily bread ("No Banker, no buna" – visual: empty coffee table vs. family sharing coffee with Banker app visible)</w:t>
      </w:r>
    </w:p>
    <w:p>
      <w:pPr>
        <w:numPr>
          <w:ilvl w:val="0"/>
          <w:numId w:val="1005"/>
        </w:numPr>
        <w:pStyle w:val="Compact"/>
      </w:pPr>
      <w:r>
        <w:rPr>
          <w:bCs/>
          <w:b/>
        </w:rPr>
        <w:t xml:space="preserve">Local Influencer Network:</w:t>
      </w:r>
      <w:r>
        <w:t xml:space="preserve"> </w:t>
      </w:r>
      <w:r>
        <w:t xml:space="preserve">Partner with Addis-based content creators (e.g., @AddisTech on Instagram) for "My First Loan" success stories</w:t>
      </w:r>
    </w:p>
    <w:p>
      <w:pPr>
        <w:numPr>
          <w:ilvl w:val="0"/>
          <w:numId w:val="1005"/>
        </w:numPr>
        <w:pStyle w:val="Compact"/>
      </w:pPr>
      <w:r>
        <w:rPr>
          <w:bCs/>
          <w:b/>
        </w:rPr>
        <w:t xml:space="preserve">Community Events:</w:t>
      </w:r>
      <w:r>
        <w:t xml:space="preserve"> </w:t>
      </w:r>
      <w:r>
        <w:t xml:space="preserve">Sponsor Adwa Victory Day celebrations with free financial literacy workshops at Merkato</w:t>
      </w:r>
    </w:p>
    <w:bookmarkEnd w:id="27"/>
    <w:bookmarkEnd w:id="28"/>
    <w:bookmarkStart w:id="29" w:name="vi.-budget-allocation-first-18-months"/>
    <w:p>
      <w:pPr>
        <w:pStyle w:val="Heading2"/>
      </w:pPr>
      <w:r>
        <w:t xml:space="preserve">VI. Budget Allocation (First 18 Months)</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(App, Social, USSD)</w:t>
      </w:r>
    </w:p>
    <w:p>
      <w:pPr>
        <w:pStyle w:val="BodyText"/>
      </w:pPr>
      <w:r>
        <w:t xml:space="preserve">45%</w:t>
      </w:r>
    </w:p>
    <w:p>
      <w:pPr>
        <w:pStyle w:val="BodyText"/>
      </w:pPr>
      <w:r>
        <w:t xml:space="preserve">TikTok/Telegram campaigns; A/B testing local language ads</w:t>
      </w:r>
    </w:p>
    <w:p>
      <w:pPr>
        <w:pStyle w:val="BodyText"/>
      </w:pPr>
      <w:r>
        <w:t xml:space="preserve">Community Partnerships</w:t>
      </w:r>
    </w:p>
    <w:p>
      <w:pPr>
        <w:pStyle w:val="BodyText"/>
      </w:pPr>
      <w:r>
        <w:t xml:space="preserve">25%</w:t>
      </w:r>
    </w:p>
    <w:p>
      <w:pPr>
        <w:pStyle w:val="BodyText"/>
      </w:pPr>
      <w:r>
        <w:t xml:space="preserve">SME workshops; market corner installations</w:t>
      </w:r>
    </w:p>
    <w:p>
      <w:pPr>
        <w:pStyle w:val="BodyText"/>
      </w:pPr>
      <w:r>
        <w:t xml:space="preserve">Agent Network Setup</w:t>
      </w:r>
    </w:p>
    <w:p>
      <w:pPr>
        <w:pStyle w:val="BodyText"/>
      </w:pPr>
      <w:r>
        <w:t xml:space="preserve">&lt;</w:t>
      </w:r>
    </w:p>
    <w:p>
      <w:pPr>
        <w:pStyle w:val="BodyText"/>
      </w:pPr>
      <w:r>
        <w:t xml:space="preserve">20%</w:t>
      </w:r>
    </w:p>
    <w:p>
      <w:pPr>
        <w:pStyle w:val="BodyText"/>
      </w:pPr>
      <w:r>
        <w:t xml:space="preserve">Kiosk partnerships; agent training in Amharic</w:t>
      </w:r>
    </w:p>
    <w:p>
      <w:pPr>
        <w:pStyle w:val="BodyText"/>
      </w:pPr>
      <w:r>
        <w:t xml:space="preserve">Brand Experience (Events, Content)</w:t>
      </w:r>
    </w:p>
    <w:p>
      <w:pPr>
        <w:pStyle w:val="BodyText"/>
      </w:pPr>
      <w:r>
        <w:t xml:space="preserve">10%</w:t>
      </w:r>
    </w:p>
    <w:p>
      <w:pPr>
        <w:pStyle w:val="BodyText"/>
      </w:pPr>
      <w:r>
        <w:t xml:space="preserve">Promotion events during Ethiopian festivals</w:t>
      </w:r>
    </w:p>
    <w:bookmarkEnd w:id="29"/>
    <w:bookmarkStart w:id="30" w:name="Xfdf1de53ea8309c8a90695dc960b9043b7780d3"/>
    <w:p>
      <w:pPr>
        <w:pStyle w:val="Heading2"/>
      </w:pPr>
      <w:r>
        <w:t xml:space="preserve">VII. Implementation Timeline: Addis Ababa Launch Phase</w:t>
      </w:r>
    </w:p>
    <w:p>
      <w:pPr>
        <w:pStyle w:val="FirstParagraph"/>
      </w:pPr>
      <w:r>
        <w:rPr>
          <w:bCs/>
          <w:b/>
        </w:rPr>
        <w:t xml:space="preserve">Months 1-3:</w:t>
      </w:r>
      <w:r>
        <w:t xml:space="preserve"> </w:t>
      </w:r>
      <w:r>
        <w:t xml:space="preserve">Regulatory approval with National Bank of Ethiopia; app beta testing in Lideta sub-city</w:t>
      </w:r>
    </w:p>
    <w:p>
      <w:pPr>
        <w:pStyle w:val="BodyText"/>
      </w:pPr>
      <w:r>
        <w:rPr>
          <w:bCs/>
          <w:b/>
        </w:rPr>
        <w:t xml:space="preserve">Months 4-6:</w:t>
      </w:r>
      <w:r>
        <w:t xml:space="preserve"> </w:t>
      </w:r>
      <w:r>
        <w:t xml:space="preserve">Launch with "Wakaf Digital Wallet" at Merkato; agent network training</w:t>
      </w:r>
    </w:p>
    <w:p>
      <w:pPr>
        <w:pStyle w:val="BodyText"/>
      </w:pPr>
      <w:r>
        <w:rPr>
          <w:bCs/>
          <w:b/>
        </w:rPr>
        <w:t xml:space="preserve">Months 7-12:</w:t>
      </w:r>
      <w:r>
        <w:t xml:space="preserve"> </w:t>
      </w:r>
      <w:r>
        <w:t xml:space="preserve">SME Loan rollout; partnership with Addis Ababa Chamber for business clinics</w:t>
      </w:r>
    </w:p>
    <w:p>
      <w:pPr>
        <w:pStyle w:val="BodyText"/>
      </w:pPr>
      <w:r>
        <w:rPr>
          <w:bCs/>
          <w:b/>
        </w:rPr>
        <w:t xml:space="preserve">Months 13-18:</w:t>
      </w:r>
      <w:r>
        <w:t xml:space="preserve"> </w:t>
      </w:r>
      <w:r>
        <w:t xml:space="preserve">Expand to all 11 sub-cities; introduce Savings Hub for youth segment</w:t>
      </w:r>
    </w:p>
    <w:bookmarkEnd w:id="30"/>
    <w:bookmarkStart w:id="31" w:name="X9d3f9889268dddb6367955e7abba00b8c28ee57"/>
    <w:p>
      <w:pPr>
        <w:pStyle w:val="Heading2"/>
      </w:pPr>
      <w:r>
        <w:t xml:space="preserve">VIII. Performance Measurement &amp; Ethiopia-Specific KPIs</w:t>
      </w:r>
    </w:p>
    <w:p>
      <w:pPr>
        <w:numPr>
          <w:ilvl w:val="0"/>
          <w:numId w:val="1006"/>
        </w:numPr>
        <w:pStyle w:val="Compact"/>
      </w:pPr>
      <w:r>
        <w:rPr>
          <w:bCs/>
          <w:b/>
        </w:rPr>
        <w:t xml:space="preserve">Digital Adoption Rate:</w:t>
      </w:r>
      <w:r>
        <w:t xml:space="preserve"> </w:t>
      </w:r>
      <w:r>
        <w:t xml:space="preserve">Target: 65% of new customers using mobile app within 90 days (vs. industry 45%)</w:t>
      </w:r>
    </w:p>
    <w:p>
      <w:pPr>
        <w:numPr>
          <w:ilvl w:val="0"/>
          <w:numId w:val="1006"/>
        </w:numPr>
        <w:pStyle w:val="Compact"/>
      </w:pPr>
      <w:r>
        <w:rPr>
          <w:bCs/>
          <w:b/>
        </w:rPr>
        <w:t xml:space="preserve">Inclusion Impact:</w:t>
      </w:r>
      <w:r>
        <w:t xml:space="preserve"> </w:t>
      </w:r>
      <w:r>
        <w:t xml:space="preserve">Track % of accounts held by women (</w:t>
      </w:r>
      <w:r>
        <w:rPr>
          <w:iCs/>
          <w:i/>
        </w:rPr>
        <w:t xml:space="preserve">Target: 50% by Year 2</w:t>
      </w:r>
      <w:r>
        <w:t xml:space="preserve">) – aligning with Ethiopia's gender equality goals</w:t>
      </w:r>
    </w:p>
    <w:p>
      <w:pPr>
        <w:numPr>
          <w:ilvl w:val="0"/>
          <w:numId w:val="1006"/>
        </w:numPr>
        <w:pStyle w:val="Compact"/>
      </w:pPr>
      <w:r>
        <w:rPr>
          <w:bCs/>
          <w:b/>
        </w:rPr>
        <w:t xml:space="preserve">Cash-to-Digital Shift:</w:t>
      </w:r>
      <w:r>
        <w:t xml:space="preserve"> </w:t>
      </w:r>
      <w:r>
        <w:t xml:space="preserve">Monitor reduction in cash transactions via agent network (target: 35% decrease in Month 12)</w:t>
      </w:r>
    </w:p>
    <w:bookmarkEnd w:id="31"/>
    <w:bookmarkStart w:id="32" w:name="ix.-conclusion-banking-ethiopias-future"/>
    <w:p>
      <w:pPr>
        <w:pStyle w:val="Heading2"/>
      </w:pPr>
      <w:r>
        <w:t xml:space="preserve">IX. Conclusion: Banking Ethiopia's Future</w:t>
      </w:r>
    </w:p>
    <w:p>
      <w:pPr>
        <w:pStyle w:val="FirstParagraph"/>
      </w:pPr>
      <w:r>
        <w:t xml:space="preserve">The Banker marketing plan transforms Addis Ababa from a traditional banking market into an engine for inclusive growth. By embedding our services within Ethiopia's cultural fabric—using local language, respecting communal values, and solving pain points like cash dependency—Banker becomes more than a bank; it becomes the catalyst for Ethiopia's financial future. This plan delivers measurable impact: 1 million empowered residents by 2027, positioning Banker as the nation’s most trusted financial institution in Addis Ababa and beyond. As one local entrepreneur will attest: "Banker didn't just give me a loan—it gave my business time to breathe."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Marketing Plan - Addis Ababa, Ethiopia</dc:title>
  <dc:creator/>
  <dc:language>en</dc:language>
  <cp:keywords/>
  <dcterms:created xsi:type="dcterms:W3CDTF">2026-06-02T17:40:54Z</dcterms:created>
  <dcterms:modified xsi:type="dcterms:W3CDTF">2026-06-02T17:40:54Z</dcterms:modified>
</cp:coreProperties>
</file>

<file path=docProps/custom.xml><?xml version="1.0" encoding="utf-8"?>
<Properties xmlns="http://schemas.openxmlformats.org/officeDocument/2006/custom-properties" xmlns:vt="http://schemas.openxmlformats.org/officeDocument/2006/docPropsVTypes"/>
</file>