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w:t>
      </w:r>
      <w:r>
        <w:t xml:space="preserve"> </w:t>
      </w:r>
      <w:r>
        <w:t xml:space="preserve">Berlin,</w:t>
      </w:r>
      <w:r>
        <w:t xml:space="preserve"> </w:t>
      </w:r>
      <w:r>
        <w:t xml:space="preserve">Germany</w:t>
      </w:r>
    </w:p>
    <w:bookmarkStart w:id="32" w:name="X14d3d61806fde7537d99bbd62843de093dc20bf"/>
    <w:p>
      <w:pPr>
        <w:pStyle w:val="Heading1"/>
      </w:pPr>
      <w:r>
        <w:t xml:space="preserve">Comprehensive Marketing Plan for Banker in Germany Berlin</w:t>
      </w:r>
    </w:p>
    <w:bookmarkStart w:id="20" w:name="executive-summary"/>
    <w:p>
      <w:pPr>
        <w:pStyle w:val="Heading2"/>
      </w:pPr>
      <w:r>
        <w:t xml:space="preserve">Executive Summary</w:t>
      </w:r>
    </w:p>
    <w:p>
      <w:pPr>
        <w:pStyle w:val="FirstParagraph"/>
      </w:pPr>
      <w:r>
        <w:t xml:space="preserve">This Marketing Plan outlines the strategic roadmap for launching and scaling "Banker" – a digital-first financial services provider – within the competitive banking landscape of Berlin, Germany. Targeting Berlin's dynamic population of 3.7 million residents and its position as Europe's fastest-growing fintech hub, this plan positions Banker to capture market share through hyper-localized digital solutions, cultural alignment with Berlin's innovation ethos, and community-centric engagement. By leveraging Berlin's unique demographic profile and economic drivers, Banker will establish itself as the preferred banking partner for urban professionals, startups, and expatriates seeking transparent, tech-enabled financial services in Germany.</w:t>
      </w:r>
    </w:p>
    <w:bookmarkEnd w:id="20"/>
    <w:bookmarkStart w:id="21" w:name="Xee87c469a4d47853e1d874103346bf9c75aaf29"/>
    <w:p>
      <w:pPr>
        <w:pStyle w:val="Heading2"/>
      </w:pPr>
      <w:r>
        <w:t xml:space="preserve">Situation Analysis: Banking Landscape in Berlin</w:t>
      </w:r>
    </w:p>
    <w:p>
      <w:pPr>
        <w:pStyle w:val="FirstParagraph"/>
      </w:pPr>
      <w:r>
        <w:t xml:space="preserve">Germany's banking sector faces disruption from rising fintech adoption, with Berlin emerging as a critical battleground. Traditional German banks (e.g., Deutsche Bank, Commerzbank) maintain strong physical presence but struggle with legacy systems and customer experience gaps. Meanwhile, Berlin's startup ecosystem – home to 14% of Germany's fintech companies – demands agile financial services beyond conventional offerings. Market research indicates 68% of Berliners prioritize digital banking convenience over branch access (Statista, 2023), creating a clear opportunity for Banker to lead in user experience. Crucially, cultural factors matter: Berliners value transparency, sustainability, and community – elements absent from most German banking services. This plan directly addresses these gaps by embedding Berlin's identity into every aspect of the Banker brand.</w:t>
      </w:r>
    </w:p>
    <w:bookmarkEnd w:id="21"/>
    <w:bookmarkStart w:id="22" w:name="target-audience-segmentation"/>
    <w:p>
      <w:pPr>
        <w:pStyle w:val="Heading2"/>
      </w:pPr>
      <w:r>
        <w:t xml:space="preserve">Target Audience Segmentation</w:t>
      </w:r>
    </w:p>
    <w:p>
      <w:pPr>
        <w:pStyle w:val="FirstParagraph"/>
      </w:pPr>
      <w:r>
        <w:t xml:space="preserve">Banker's strategy focuses on three high-potential segments within Germany Berlin:</w:t>
      </w:r>
    </w:p>
    <w:p>
      <w:pPr>
        <w:numPr>
          <w:ilvl w:val="0"/>
          <w:numId w:val="1001"/>
        </w:numPr>
        <w:pStyle w:val="Compact"/>
      </w:pPr>
      <w:r>
        <w:rPr>
          <w:bCs/>
          <w:b/>
        </w:rPr>
        <w:t xml:space="preserve">Urban Professionals (30-45 years):</w:t>
      </w:r>
      <w:r>
        <w:t xml:space="preserve"> </w:t>
      </w:r>
      <w:r>
        <w:t xml:space="preserve">Digital-native salary earners seeking personalized investment tools and fee transparency. 72% of Berlin’s workforce in creative/tech sectors prioritize apps over branch visits.</w:t>
      </w:r>
    </w:p>
    <w:p>
      <w:pPr>
        <w:numPr>
          <w:ilvl w:val="0"/>
          <w:numId w:val="1001"/>
        </w:numPr>
        <w:pStyle w:val="Compact"/>
      </w:pPr>
      <w:r>
        <w:rPr>
          <w:bCs/>
          <w:b/>
        </w:rPr>
        <w:t xml:space="preserve">New Startups &amp; SMEs:</w:t>
      </w:r>
      <w:r>
        <w:t xml:space="preserve"> </w:t>
      </w:r>
      <w:r>
        <w:t xml:space="preserve">Berlin hosts over 12,000 startups; they need embedded finance (e.g., instant business accounts, cash flow analytics) absent from traditional banks.</w:t>
      </w:r>
    </w:p>
    <w:p>
      <w:pPr>
        <w:numPr>
          <w:ilvl w:val="0"/>
          <w:numId w:val="1001"/>
        </w:numPr>
        <w:pStyle w:val="Compact"/>
      </w:pPr>
      <w:r>
        <w:rPr>
          <w:bCs/>
          <w:b/>
        </w:rPr>
        <w:t xml:space="preserve">Expatriates &amp; International Residents:</w:t>
      </w:r>
      <w:r>
        <w:t xml:space="preserve"> </w:t>
      </w:r>
      <w:r>
        <w:t xml:space="preserve">22% of Berlin's population is foreign-born; they require seamless multi-currency services and German tax-compliance support.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50,000 active user sign-ups across Berlin within 12 months</w:t>
      </w:r>
    </w:p>
    <w:bookmarkEnd w:id="23"/>
    <w:bookmarkStart w:id="28" w:name="X4e6ff224ead1766b2a957e7dcd74bd428373361"/>
    <w:p>
      <w:pPr>
        <w:pStyle w:val="Heading2"/>
      </w:pPr>
      <w:r>
        <w:t xml:space="preserve">Core Marketing Strategies: The 4 Ps for Berlin</w:t>
      </w:r>
    </w:p>
    <w:bookmarkStart w:id="24" w:name="X817baa56648224e7806a313f44ba6145d216bfa"/>
    <w:p>
      <w:pPr>
        <w:pStyle w:val="Heading3"/>
      </w:pPr>
      <w:r>
        <w:t xml:space="preserve">Product: Hyper-Local Digital Banking Suite</w:t>
      </w:r>
    </w:p>
    <w:p>
      <w:pPr>
        <w:pStyle w:val="FirstParagraph"/>
      </w:pPr>
      <w:r>
        <w:t xml:space="preserve">Banker’s core offering integrates Berlin-specific functionality:</w:t>
      </w:r>
    </w:p>
    <w:p>
      <w:pPr>
        <w:numPr>
          <w:ilvl w:val="0"/>
          <w:numId w:val="1003"/>
        </w:numPr>
        <w:pStyle w:val="Compact"/>
      </w:pPr>
      <w:r>
        <w:rPr>
          <w:bCs/>
          <w:b/>
        </w:rPr>
        <w:t xml:space="preserve">Berlin Budget Tracker:</w:t>
      </w:r>
      <w:r>
        <w:t xml:space="preserve"> </w:t>
      </w:r>
      <w:r>
        <w:t xml:space="preserve">AI-powered tool analyzing spending against local cost-of-living data (e.g., comparing rent in Kreuzberg vs. Prenzlauer Berg).</w:t>
      </w:r>
    </w:p>
    <w:p>
      <w:pPr>
        <w:numPr>
          <w:ilvl w:val="0"/>
          <w:numId w:val="1003"/>
        </w:numPr>
        <w:pStyle w:val="Compact"/>
      </w:pPr>
      <w:r>
        <w:rPr>
          <w:bCs/>
          <w:b/>
        </w:rPr>
        <w:t xml:space="preserve">Startup Hub Integration:</w:t>
      </w:r>
      <w:r>
        <w:t xml:space="preserve"> </w:t>
      </w:r>
      <w:r>
        <w:t xml:space="preserve">Direct API connections to Berlin’s incubators (e.g., Factory Berlin, Rocket Internet) for automated business account onboarding.</w:t>
      </w:r>
    </w:p>
    <w:p>
      <w:pPr>
        <w:numPr>
          <w:ilvl w:val="0"/>
          <w:numId w:val="1003"/>
        </w:numPr>
        <w:pStyle w:val="Compact"/>
      </w:pPr>
      <w:r>
        <w:rPr>
          <w:bCs/>
          <w:b/>
        </w:rPr>
        <w:t xml:space="preserve">Sustainability Dashboard:</w:t>
      </w:r>
      <w:r>
        <w:t xml:space="preserve"> </w:t>
      </w:r>
      <w:r>
        <w:t xml:space="preserve">Tracks carbon footprint from transactions, aligning with Berlin’s climate-positive city goals.</w:t>
      </w:r>
    </w:p>
    <w:bookmarkEnd w:id="24"/>
    <w:bookmarkStart w:id="25" w:name="pricing-tiered-transparency"/>
    <w:p>
      <w:pPr>
        <w:pStyle w:val="Heading3"/>
      </w:pPr>
      <w:r>
        <w:t xml:space="preserve">Pricing: Tiered Transparency</w:t>
      </w:r>
    </w:p>
    <w:p>
      <w:pPr>
        <w:pStyle w:val="FirstParagraph"/>
      </w:pPr>
      <w:r>
        <w:t xml:space="preserve">Avoiding German banking's opaque fee structures, Banker implements a simple tier system:</w:t>
      </w:r>
    </w:p>
    <w:p>
      <w:pPr>
        <w:numPr>
          <w:ilvl w:val="0"/>
          <w:numId w:val="1004"/>
        </w:numPr>
        <w:pStyle w:val="Compact"/>
      </w:pPr>
      <w:r>
        <w:rPr>
          <w:bCs/>
          <w:b/>
        </w:rPr>
        <w:t xml:space="preserve">Basic (Free):</w:t>
      </w:r>
      <w:r>
        <w:t xml:space="preserve"> </w:t>
      </w:r>
      <w:r>
        <w:t xml:space="preserve">0% fees for Berlin residents; 15% discount on public transport (e.g., BVG) via app integration.</w:t>
      </w:r>
    </w:p>
    <w:p>
      <w:pPr>
        <w:numPr>
          <w:ilvl w:val="0"/>
          <w:numId w:val="1004"/>
        </w:numPr>
        <w:pStyle w:val="Compact"/>
      </w:pPr>
      <w:r>
        <w:rPr>
          <w:bCs/>
          <w:b/>
        </w:rPr>
        <w:t xml:space="preserve">Pro (€4.99/mo):</w:t>
      </w:r>
      <w:r>
        <w:t xml:space="preserve"> </w:t>
      </w:r>
      <w:r>
        <w:t xml:space="preserve">Includes SME business tools and carbon footprint analytics.</w:t>
      </w:r>
    </w:p>
    <w:p>
      <w:pPr>
        <w:numPr>
          <w:ilvl w:val="0"/>
          <w:numId w:val="1004"/>
        </w:numPr>
        <w:pStyle w:val="Compact"/>
      </w:pPr>
      <w:r>
        <w:rPr>
          <w:bCs/>
          <w:b/>
        </w:rPr>
        <w:t xml:space="preserve">Premium (€9.99/mo):</w:t>
      </w:r>
      <w:r>
        <w:t xml:space="preserve"> </w:t>
      </w:r>
      <w:r>
        <w:t xml:space="preserve">Dedicated Berlin-based customer support + expat tax advisory.</w:t>
      </w:r>
    </w:p>
    <w:bookmarkEnd w:id="25"/>
    <w:bookmarkStart w:id="26" w:name="X2f51d217fc81e01f99cda613413e5db2b088f49"/>
    <w:p>
      <w:pPr>
        <w:pStyle w:val="Heading3"/>
      </w:pPr>
      <w:r>
        <w:t xml:space="preserve">Place: Digital-First with Strategic Berlin Touchpoints</w:t>
      </w:r>
    </w:p>
    <w:p>
      <w:pPr>
        <w:pStyle w:val="FirstParagraph"/>
      </w:pPr>
      <w:r>
        <w:t xml:space="preserve">Rather than physical branches, Banker leverages Berlin’s infrastructure:</w:t>
      </w:r>
    </w:p>
    <w:p>
      <w:pPr>
        <w:numPr>
          <w:ilvl w:val="0"/>
          <w:numId w:val="1005"/>
        </w:numPr>
        <w:pStyle w:val="Compact"/>
      </w:pPr>
      <w:r>
        <w:rPr>
          <w:bCs/>
          <w:b/>
        </w:rPr>
        <w:t xml:space="preserve">Digital-Only Launch:</w:t>
      </w:r>
      <w:r>
        <w:t xml:space="preserve"> </w:t>
      </w:r>
      <w:r>
        <w:t xml:space="preserve">App-first strategy targeting Germany’s 92% smartphone penetration.</w:t>
      </w:r>
    </w:p>
    <w:p>
      <w:pPr>
        <w:numPr>
          <w:ilvl w:val="0"/>
          <w:numId w:val="1005"/>
        </w:numPr>
        <w:pStyle w:val="Compact"/>
      </w:pPr>
      <w:r>
        <w:rPr>
          <w:bCs/>
          <w:b/>
        </w:rPr>
        <w:t xml:space="preserve">Community Hubs:</w:t>
      </w:r>
      <w:r>
        <w:t xml:space="preserve"> </w:t>
      </w:r>
      <w:r>
        <w:t xml:space="preserve">Pop-up "Banker Corners" at Berlin events (e.g., Tech Open Air, Berlin Art Week) for onboarding.</w:t>
      </w:r>
    </w:p>
    <w:p>
      <w:pPr>
        <w:numPr>
          <w:ilvl w:val="0"/>
          <w:numId w:val="1005"/>
        </w:numPr>
        <w:pStyle w:val="Compact"/>
      </w:pPr>
      <w:r>
        <w:rPr>
          <w:bCs/>
          <w:b/>
        </w:rPr>
        <w:t xml:space="preserve">Campus Partnerships:</w:t>
      </w:r>
      <w:r>
        <w:t xml:space="preserve"> </w:t>
      </w:r>
      <w:r>
        <w:t xml:space="preserve">Co-branded accounts with TU Berlin and Humboldt University for students.</w:t>
      </w:r>
    </w:p>
    <w:bookmarkEnd w:id="26"/>
    <w:bookmarkStart w:id="27" w:name="X576168c28659c6b5d9dc5eda5514532edcd356f"/>
    <w:p>
      <w:pPr>
        <w:pStyle w:val="Heading3"/>
      </w:pPr>
      <w:r>
        <w:t xml:space="preserve">Promotion: Culture-Driven Community Marketing</w:t>
      </w:r>
    </w:p>
    <w:p>
      <w:pPr>
        <w:pStyle w:val="FirstParagraph"/>
      </w:pPr>
      <w:r>
        <w:t xml:space="preserve">Beyond standard ads, Banker immerses in Berlin’s cultural fabric:</w:t>
      </w:r>
    </w:p>
    <w:p>
      <w:pPr>
        <w:numPr>
          <w:ilvl w:val="0"/>
          <w:numId w:val="1006"/>
        </w:numPr>
        <w:pStyle w:val="Compact"/>
      </w:pPr>
      <w:r>
        <w:rPr>
          <w:bCs/>
          <w:b/>
        </w:rPr>
        <w:t xml:space="preserve">Local Influencer Collaborations:</w:t>
      </w:r>
      <w:r>
        <w:t xml:space="preserve"> </w:t>
      </w:r>
      <w:r>
        <w:t xml:space="preserve">Partnering with Berlin-based creators (e.g., @BerlinLife) for authentic app demos.</w:t>
      </w:r>
    </w:p>
    <w:p>
      <w:pPr>
        <w:numPr>
          <w:ilvl w:val="0"/>
          <w:numId w:val="1006"/>
        </w:numPr>
        <w:pStyle w:val="Compact"/>
      </w:pPr>
      <w:r>
        <w:rPr>
          <w:bCs/>
          <w:b/>
        </w:rPr>
        <w:t xml:space="preserve">Sponsorships:</w:t>
      </w:r>
      <w:r>
        <w:t xml:space="preserve"> </w:t>
      </w:r>
      <w:r>
        <w:t xml:space="preserve">Funding grassroots projects like "Berlin Street Art Fund" to align with local identity.</w:t>
      </w:r>
    </w:p>
    <w:p>
      <w:pPr>
        <w:numPr>
          <w:ilvl w:val="0"/>
          <w:numId w:val="1006"/>
        </w:numPr>
        <w:pStyle w:val="Compact"/>
      </w:pPr>
      <w:r>
        <w:rPr>
          <w:bCs/>
          <w:b/>
        </w:rPr>
        <w:t xml:space="preserve">"Banker Berlin Stories" Campaign:</w:t>
      </w:r>
      <w:r>
        <w:t xml:space="preserve"> </w:t>
      </w:r>
      <w:r>
        <w:t xml:space="preserve">User-generated content highlighting real Berliners' financial journeys (e.g., a startup founder using Banker’s cash flow tool).</w:t>
      </w:r>
    </w:p>
    <w:bookmarkEnd w:id="27"/>
    <w:bookmarkEnd w:id="28"/>
    <w:bookmarkStart w:id="29" w:name="budget-allocation-timeline"/>
    <w:p>
      <w:pPr>
        <w:pStyle w:val="Heading2"/>
      </w:pPr>
      <w:r>
        <w:t xml:space="preserve">Budget Allocation &amp; Timeline</w:t>
      </w:r>
    </w:p>
    <w:p>
      <w:pPr>
        <w:pStyle w:val="FirstParagraph"/>
      </w:pPr>
      <w:r>
        <w:t xml:space="preserve">The €1.2M marketing budget is prioritized for maximum Berlin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Q1 (€300K)</w:t>
            </w:r>
          </w:p>
        </w:tc>
        <w:tc>
          <w:tcPr/>
          <w:p>
            <w:pPr>
              <w:pStyle w:val="Compact"/>
              <w:jc w:val="left"/>
            </w:pPr>
            <w:r>
              <w:t xml:space="preserve">Q2 (€400K)</w:t>
            </w:r>
          </w:p>
        </w:tc>
      </w:tr>
      <w:tr>
        <w:tc>
          <w:tcPr/>
          <w:p>
            <w:pPr>
              <w:pStyle w:val="Compact"/>
              <w:jc w:val="left"/>
            </w:pPr>
            <w:r>
              <w:t xml:space="preserve">Digital Campaigns &amp; Influencers</w:t>
            </w:r>
          </w:p>
        </w:tc>
        <w:tc>
          <w:tcPr/>
          <w:p>
            <w:pPr>
              <w:pStyle w:val="Compact"/>
              <w:jc w:val="left"/>
            </w:pPr>
            <w:r>
              <w:t xml:space="preserve">45%</w:t>
            </w:r>
          </w:p>
        </w:tc>
        <w:tc>
          <w:tcPr/>
          <w:p>
            <w:pPr>
              <w:pStyle w:val="Compact"/>
              <w:jc w:val="left"/>
            </w:pPr>
            <w:r>
              <w:t xml:space="preserve">65%</w:t>
            </w:r>
          </w:p>
        </w:tc>
      </w:tr>
      <w:tr>
        <w:tc>
          <w:tcPr/>
          <w:p>
            <w:pPr>
              <w:pStyle w:val="Compact"/>
              <w:jc w:val="left"/>
            </w:pPr>
            <w:r>
              <w:t xml:space="preserve">Community Event Activation</w:t>
            </w:r>
          </w:p>
        </w:tc>
        <w:tc>
          <w:tcPr/>
          <w:p>
            <w:pPr>
              <w:pStyle w:val="Compact"/>
              <w:jc w:val="left"/>
            </w:pPr>
            <w:r>
              <w:t xml:space="preserve">35%</w:t>
            </w:r>
          </w:p>
        </w:tc>
        <w:tc>
          <w:tcPr/>
          <w:p>
            <w:pPr>
              <w:pStyle w:val="Compact"/>
              <w:jc w:val="left"/>
            </w:pPr>
            <w:r>
              <w:t xml:space="preserve">20%</w:t>
            </w:r>
          </w:p>
        </w:tc>
      </w:tr>
      <w:tr>
        <w:tc>
          <w:tcPr/>
          <w:p>
            <w:pPr>
              <w:pStyle w:val="Compact"/>
              <w:jc w:val="left"/>
            </w:pPr>
            <w:r>
              <w:t xml:space="preserve">Sponsorships &amp; Partnerships</w:t>
            </w:r>
          </w:p>
        </w:tc>
        <w:tc>
          <w:tcPr>
            <w:gridSpan w:val="2"/>
          </w:tcPr>
          <w:p>
            <w:pPr>
              <w:pStyle w:val="Compact"/>
              <w:jc w:val="left"/>
            </w:pPr>
            <w:r>
              <w:t xml:space="preserve">20% (all quarters)</w:t>
            </w:r>
          </w:p>
        </w:tc>
      </w:tr>
    </w:tbl>
    <w:bookmarkEnd w:id="29"/>
    <w:bookmarkStart w:id="30" w:name="evaluation-framework"/>
    <w:p>
      <w:pPr>
        <w:pStyle w:val="Heading2"/>
      </w:pPr>
      <w:r>
        <w:t xml:space="preserve">Evaluation Framework</w:t>
      </w:r>
    </w:p>
    <w:p>
      <w:pPr>
        <w:pStyle w:val="FirstParagraph"/>
      </w:pPr>
      <w:r>
        <w:t xml:space="preserve">Success is measured through Berlin-specific KPIs:</w:t>
      </w:r>
    </w:p>
    <w:p>
      <w:pPr>
        <w:numPr>
          <w:ilvl w:val="0"/>
          <w:numId w:val="1007"/>
        </w:numPr>
        <w:pStyle w:val="Compact"/>
      </w:pPr>
      <w:r>
        <w:rPr>
          <w:bCs/>
          <w:b/>
        </w:rPr>
        <w:t xml:space="preserve">App Engagement:</w:t>
      </w:r>
      <w:r>
        <w:t xml:space="preserve"> </w:t>
      </w:r>
      <w:r>
        <w:t xml:space="preserve">Session duration (&gt;5 min) and feature usage (e.g., Berlin Budget Tracker).</w:t>
      </w:r>
    </w:p>
    <w:p>
      <w:pPr>
        <w:numPr>
          <w:ilvl w:val="0"/>
          <w:numId w:val="1007"/>
        </w:numPr>
        <w:pStyle w:val="Compact"/>
      </w:pPr>
      <w:r>
        <w:rPr>
          <w:bCs/>
          <w:b/>
        </w:rPr>
        <w:t xml:space="preserve">Community Sentiment:</w:t>
      </w:r>
      <w:r>
        <w:t xml:space="preserve"> </w:t>
      </w:r>
      <w:r>
        <w:t xml:space="preserve">Social media mentions with #BankerBerlin (+20% MoM target).</w:t>
      </w:r>
    </w:p>
    <w:p>
      <w:pPr>
        <w:numPr>
          <w:ilvl w:val="0"/>
          <w:numId w:val="1007"/>
        </w:numPr>
        <w:pStyle w:val="Compact"/>
      </w:pPr>
      <w:r>
        <w:rPr>
          <w:bCs/>
          <w:b/>
        </w:rPr>
        <w:t xml:space="preserve">SME Adoption Rate:</w:t>
      </w:r>
      <w:r>
        <w:t xml:space="preserve"> </w:t>
      </w:r>
      <w:r>
        <w:t xml:space="preserve">Partnering with 50+ Berlin startups by Q4.</w:t>
      </w:r>
    </w:p>
    <w:bookmarkEnd w:id="30"/>
    <w:bookmarkStart w:id="31" w:name="conclusion-banking-as-berlin-identity"/>
    <w:p>
      <w:pPr>
        <w:pStyle w:val="Heading2"/>
      </w:pPr>
      <w:r>
        <w:t xml:space="preserve">Conclusion: Banking as Berlin Identity</w:t>
      </w:r>
    </w:p>
    <w:p>
      <w:pPr>
        <w:pStyle w:val="FirstParagraph"/>
      </w:pPr>
      <w:r>
        <w:t xml:space="preserve">This Marketing Plan positions Banker not merely as a financial service, but as an embodiment of Berlin's spirit – innovative, inclusive, and forward-thinking. By centering Germany’s capital city in every strategic decision, from product design to community engagement, Banker transcends transactional banking to become an intrinsic part of Berliners' daily lives. As Germany’s digital economy accelerates toward €130B annual fintech revenue (Statista), Banker will capture its rightful share through relentless focus on what makes Berlin unique: its people, culture, and unrelenting drive for the future. The Marketing Plan ensures Banker isn’t just entering the market – it’s redefining banking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 Berlin, Germany</dc:title>
  <dc:creator/>
  <dc:language>en</dc:language>
  <cp:keywords/>
  <dcterms:created xsi:type="dcterms:W3CDTF">2026-07-23T16:02:11Z</dcterms:created>
  <dcterms:modified xsi:type="dcterms:W3CDTF">2026-07-23T16:02:11Z</dcterms:modified>
</cp:coreProperties>
</file>

<file path=docProps/custom.xml><?xml version="1.0" encoding="utf-8"?>
<Properties xmlns="http://schemas.openxmlformats.org/officeDocument/2006/custom-properties" xmlns:vt="http://schemas.openxmlformats.org/officeDocument/2006/docPropsVTypes"/>
</file>