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Germany</w:t>
      </w:r>
      <w:r>
        <w:t xml:space="preserve"> </w:t>
      </w:r>
      <w:r>
        <w:t xml:space="preserve">Frankfurt</w:t>
      </w:r>
      <w:r>
        <w:t xml:space="preserve"> </w:t>
      </w:r>
      <w:r>
        <w:t xml:space="preserve">Focus</w:t>
      </w:r>
    </w:p>
    <w:bookmarkStart w:id="32" w:name="Xd367c5638ca5757764cd1f62ab66dcc247a3762"/>
    <w:p>
      <w:pPr>
        <w:pStyle w:val="Heading1"/>
      </w:pPr>
      <w:r>
        <w:t xml:space="preserve">Comprehensive Marketing Plan for Banker in Germany Frankfurt</w:t>
      </w:r>
    </w:p>
    <w:bookmarkStart w:id="20" w:name="executive-summary"/>
    <w:p>
      <w:pPr>
        <w:pStyle w:val="Heading2"/>
      </w:pPr>
      <w:r>
        <w:t xml:space="preserve">Executive Summary</w:t>
      </w:r>
    </w:p>
    <w:p>
      <w:pPr>
        <w:pStyle w:val="FirstParagraph"/>
      </w:pPr>
      <w:r>
        <w:t xml:space="preserve">This Marketing Plan outlines a strategic roadmap for "Banker," a premium financial services provider, to establish dominance in the Frankfurt financial ecosystem. As Germany's financial hub and Europe's central banking capital, Frankfurt presents unparalleled opportunities for Banker to capture market share among corporations, high-net-worth individuals (HNWIs), and institutional clients. This plan details actionable strategies tailored to Frankfurt's unique economic landscape—leveraging its status as home to the European Central Bank (ECB), Deutsche Börse, and 300+ multinational financial institutions. The primary goal is to position Banker as the preferred banking partner for Germany Frankfurt's dynamic financial community within 24 months.</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economy is a magnet for global finance, contributing 10% of Germany's GDP and housing 85% of the country’s financial sector. With over 300 banks and asset management firms operating in the city, competition is intense but opportunities are abundant. Key trends include: rising demand for ESG-compliant banking solutions (62% of Frankfurt institutions prioritize sustainability), digital transformation acceleration (78% of corporates seek API-driven banking tools), and post-pandemic growth in private banking assets (projected +12% CAGR). Crucially, Banker must differentiate through hyper-local expertise—understanding Frankfurt's regulatory nuances under BaFin, its EU-wide influence, and cultural preferences for relationship-driven service. This Marketing Plan will ensure Banker capitalizes on Germany Frankfurt’s unique ecosystem rather than applying generic European strategies.</w:t>
      </w:r>
    </w:p>
    <w:bookmarkEnd w:id="21"/>
    <w:bookmarkStart w:id="22" w:name="target-audience"/>
    <w:p>
      <w:pPr>
        <w:pStyle w:val="Heading2"/>
      </w:pPr>
      <w:r>
        <w:t xml:space="preserve">Target Audience</w:t>
      </w:r>
    </w:p>
    <w:p>
      <w:pPr>
        <w:pStyle w:val="FirstParagraph"/>
      </w:pPr>
      <w:r>
        <w:t xml:space="preserve">Our segmentation prioritizes three high-value cohorts in Germany Frankfurt:</w:t>
      </w:r>
    </w:p>
    <w:p>
      <w:pPr>
        <w:numPr>
          <w:ilvl w:val="0"/>
          <w:numId w:val="1001"/>
        </w:numPr>
        <w:pStyle w:val="Compact"/>
      </w:pPr>
      <w:r>
        <w:rPr>
          <w:bCs/>
          <w:b/>
        </w:rPr>
        <w:t xml:space="preserve">Corporate Clients:</w:t>
      </w:r>
      <w:r>
        <w:t xml:space="preserve"> </w:t>
      </w:r>
      <w:r>
        <w:t xml:space="preserve">DAX-listed firms and international HQs (e.g., Siemens, Deutsche Lufthansa) needing treasury management, cross-border payments, and ESG financing. Frankfurt hosts 26% of Germany’s Fortune 500 companies.</w:t>
      </w:r>
    </w:p>
    <w:p>
      <w:pPr>
        <w:numPr>
          <w:ilvl w:val="0"/>
          <w:numId w:val="1001"/>
        </w:numPr>
        <w:pStyle w:val="Compact"/>
      </w:pPr>
      <w:r>
        <w:rPr>
          <w:bCs/>
          <w:b/>
        </w:rPr>
        <w:t xml:space="preserve">High-Net-Worth Individuals:</w:t>
      </w:r>
      <w:r>
        <w:t xml:space="preserve"> </w:t>
      </w:r>
      <w:r>
        <w:t xml:space="preserve">Affluent residents in the city's premium districts (Gallus, Sachsenhausen) seeking bespoke wealth management with German tax optimization expertise.</w:t>
      </w:r>
    </w:p>
    <w:p>
      <w:pPr>
        <w:numPr>
          <w:ilvl w:val="0"/>
          <w:numId w:val="1001"/>
        </w:numPr>
        <w:pStyle w:val="Compact"/>
      </w:pPr>
      <w:r>
        <w:rPr>
          <w:bCs/>
          <w:b/>
        </w:rPr>
        <w:t xml:space="preserve">Institutional Partners:</w:t>
      </w:r>
      <w:r>
        <w:t xml:space="preserve"> </w:t>
      </w:r>
      <w:r>
        <w:t xml:space="preserve">Asset managers and fintechs requiring seamless integration with Frankfurt’s banking infrastructure, particularly ECB compliance protocols.</w:t>
      </w:r>
    </w:p>
    <w:bookmarkEnd w:id="22"/>
    <w:bookmarkStart w:id="23" w:name="marketing-objectives-smart"/>
    <w:p>
      <w:pPr>
        <w:pStyle w:val="Heading2"/>
      </w:pPr>
      <w:r>
        <w:t xml:space="preserve">Marketing Objectives (SMART)</w:t>
      </w:r>
    </w:p>
    <w:p>
      <w:pPr>
        <w:numPr>
          <w:ilvl w:val="0"/>
          <w:numId w:val="1002"/>
        </w:numPr>
        <w:pStyle w:val="Compact"/>
      </w:pPr>
      <w:r>
        <w:rPr>
          <w:iCs/>
          <w:i/>
        </w:rPr>
        <w:t xml:space="preserve">S</w:t>
      </w:r>
      <w:r>
        <w:t xml:space="preserve">: Achieve 15% market share among corporate treasury clients in Germany Frankfurt within 18 months.</w:t>
      </w:r>
    </w:p>
    <w:p>
      <w:pPr>
        <w:numPr>
          <w:ilvl w:val="0"/>
          <w:numId w:val="1002"/>
        </w:numPr>
        <w:pStyle w:val="Compact"/>
      </w:pPr>
      <w:r>
        <w:rPr>
          <w:iCs/>
          <w:i/>
        </w:rPr>
        <w:t xml:space="preserve">M</w:t>
      </w:r>
      <w:r>
        <w:t xml:space="preserve">: Acquire 300 new HNWI clients (€1M+ AUM) via targeted relationship-building by Year 2.</w:t>
      </w:r>
    </w:p>
    <w:p>
      <w:pPr>
        <w:numPr>
          <w:ilvl w:val="0"/>
          <w:numId w:val="1002"/>
        </w:numPr>
        <w:pStyle w:val="Compact"/>
      </w:pPr>
      <w:r>
        <w:rPr>
          <w:iCs/>
          <w:i/>
        </w:rPr>
        <w:t xml:space="preserve">W</w:t>
      </w:r>
      <w:r>
        <w:t xml:space="preserve">: Increase brand recall among Frankfurt financial professionals by 45% through localized engagement.</w:t>
      </w:r>
    </w:p>
    <w:p>
      <w:pPr>
        <w:numPr>
          <w:ilvl w:val="0"/>
          <w:numId w:val="1002"/>
        </w:numPr>
        <w:pStyle w:val="Compact"/>
      </w:pPr>
      <w:r>
        <w:rPr>
          <w:iCs/>
          <w:i/>
        </w:rPr>
        <w:t xml:space="preserve">R</w:t>
      </w:r>
      <w:r>
        <w:t xml:space="preserve">: Achieve a 90% client retention rate for corporate accounts within the first year.</w:t>
      </w:r>
    </w:p>
    <w:p>
      <w:pPr>
        <w:numPr>
          <w:ilvl w:val="0"/>
          <w:numId w:val="1002"/>
        </w:numPr>
        <w:pStyle w:val="Compact"/>
      </w:pPr>
      <w:r>
        <w:rPr>
          <w:iCs/>
          <w:i/>
        </w:rPr>
        <w:t xml:space="preserve">T</w:t>
      </w:r>
      <w:r>
        <w:t xml:space="preserve">: Secure partnerships with at least 3 major Frankfurt-based fintechs by Q4 2025.</w:t>
      </w:r>
    </w:p>
    <w:bookmarkEnd w:id="23"/>
    <w:bookmarkStart w:id="27" w:name="core-marketing-strategies-tactics"/>
    <w:p>
      <w:pPr>
        <w:pStyle w:val="Heading2"/>
      </w:pPr>
      <w:r>
        <w:t xml:space="preserve">Core Marketing Strategies &amp; Tactics</w:t>
      </w:r>
    </w:p>
    <w:p>
      <w:pPr>
        <w:pStyle w:val="FirstParagraph"/>
      </w:pPr>
      <w:r>
        <w:t xml:space="preserve">Banker’s strategy hinges on three pillars, all deeply anchored in Germany Frankfurt context:</w:t>
      </w:r>
    </w:p>
    <w:bookmarkStart w:id="24" w:name="hyper-local-brand-positioning"/>
    <w:p>
      <w:pPr>
        <w:pStyle w:val="Heading3"/>
      </w:pPr>
      <w:r>
        <w:t xml:space="preserve">1. Hyper-Local Brand Positioning</w:t>
      </w:r>
    </w:p>
    <w:p>
      <w:pPr>
        <w:pStyle w:val="FirstParagraph"/>
      </w:pPr>
      <w:r>
        <w:t xml:space="preserve">We’ll reframe "Banker" as a Frankfurt-native institution—</w:t>
      </w:r>
      <w:r>
        <w:rPr>
          <w:iCs/>
          <w:i/>
        </w:rPr>
        <w:t xml:space="preserve">not</w:t>
      </w:r>
      <w:r>
        <w:t xml:space="preserve"> </w:t>
      </w:r>
      <w:r>
        <w:t xml:space="preserve">a generic bank—through:</w:t>
      </w:r>
    </w:p>
    <w:p>
      <w:pPr>
        <w:numPr>
          <w:ilvl w:val="0"/>
          <w:numId w:val="1003"/>
        </w:numPr>
        <w:pStyle w:val="Compact"/>
      </w:pPr>
      <w:r>
        <w:rPr>
          <w:bCs/>
          <w:b/>
        </w:rPr>
        <w:t xml:space="preserve">Frankfurt-Centric Messaging:</w:t>
      </w:r>
      <w:r>
        <w:t xml:space="preserve"> </w:t>
      </w:r>
      <w:r>
        <w:t xml:space="preserve">Campaigns highlighting "Banker: Your Frankfurt Financial Partner Since 2010," emphasizing local regulatory mastery (BaFin, ECB) and presence in key districts like the Banking Quarter (Bankenquartier).</w:t>
      </w:r>
    </w:p>
    <w:p>
      <w:pPr>
        <w:numPr>
          <w:ilvl w:val="0"/>
          <w:numId w:val="1003"/>
        </w:numPr>
        <w:pStyle w:val="Compact"/>
      </w:pPr>
      <w:r>
        <w:rPr>
          <w:bCs/>
          <w:b/>
        </w:rPr>
        <w:t xml:space="preserve">Localized Content:</w:t>
      </w:r>
      <w:r>
        <w:t xml:space="preserve"> </w:t>
      </w:r>
      <w:r>
        <w:t xml:space="preserve">Monthly webinars co-hosted with Frankfurt School of Finance &amp; Management on "ECB Regulatory Shifts for DAX Companies" and LinkedIn content addressing Frankfurt-specific pain points (e.g., "Optimizing Cross-Border Payments from Germany’s Financial Hub").</w:t>
      </w:r>
    </w:p>
    <w:bookmarkEnd w:id="24"/>
    <w:bookmarkStart w:id="25" w:name="relationship-driven-digital-engagement"/>
    <w:p>
      <w:pPr>
        <w:pStyle w:val="Heading3"/>
      </w:pPr>
      <w:r>
        <w:t xml:space="preserve">2. Relationship-Driven Digital Engagement</w:t>
      </w:r>
    </w:p>
    <w:p>
      <w:pPr>
        <w:pStyle w:val="FirstParagraph"/>
      </w:pPr>
      <w:r>
        <w:t xml:space="preserve">Replacing mass marketing with personalized digital touchpoints tailored for Germany Frankfurt professionals:</w:t>
      </w:r>
    </w:p>
    <w:p>
      <w:pPr>
        <w:numPr>
          <w:ilvl w:val="0"/>
          <w:numId w:val="1004"/>
        </w:numPr>
        <w:pStyle w:val="Compact"/>
      </w:pPr>
      <w:r>
        <w:rPr>
          <w:bCs/>
          <w:b/>
        </w:rPr>
        <w:t xml:space="preserve">Frankfurt CRM Integration:</w:t>
      </w:r>
      <w:r>
        <w:t xml:space="preserve"> </w:t>
      </w:r>
      <w:r>
        <w:t xml:space="preserve">A dedicated portal for corporate clients tracking real-time access to ECB data, Frankfurt stock exchange (FWB) insights, and local tax updates.</w:t>
      </w:r>
    </w:p>
    <w:p>
      <w:pPr>
        <w:numPr>
          <w:ilvl w:val="0"/>
          <w:numId w:val="1004"/>
        </w:numPr>
        <w:pStyle w:val="Compact"/>
      </w:pPr>
      <w:r>
        <w:rPr>
          <w:bCs/>
          <w:b/>
        </w:rPr>
        <w:t xml:space="preserve">Tailored Digital Ads:</w:t>
      </w:r>
      <w:r>
        <w:t xml:space="preserve"> </w:t>
      </w:r>
      <w:r>
        <w:t xml:space="preserve">Geo-fenced LinkedIn/Google ads targeting professionals in Frankfurt’s financial zones with offers like "Frankfurt Corporate Banking: 50% Off FX Fees for First 6 Months."</w:t>
      </w:r>
    </w:p>
    <w:bookmarkEnd w:id="25"/>
    <w:bookmarkStart w:id="26" w:name="community-immersion-strategic-alliances"/>
    <w:p>
      <w:pPr>
        <w:pStyle w:val="Heading3"/>
      </w:pPr>
      <w:r>
        <w:t xml:space="preserve">3. Community Immersion &amp; Strategic Alliances</w:t>
      </w:r>
    </w:p>
    <w:p>
      <w:pPr>
        <w:pStyle w:val="FirstParagraph"/>
      </w:pPr>
      <w:r>
        <w:t xml:space="preserve">Leveraging Frankfurt’s tight-knit financial community through:</w:t>
      </w:r>
    </w:p>
    <w:p>
      <w:pPr>
        <w:numPr>
          <w:ilvl w:val="0"/>
          <w:numId w:val="1005"/>
        </w:numPr>
        <w:pStyle w:val="Compact"/>
      </w:pPr>
      <w:r>
        <w:rPr>
          <w:bCs/>
          <w:b/>
        </w:rPr>
        <w:t xml:space="preserve">Exclusive Events:</w:t>
      </w:r>
      <w:r>
        <w:t xml:space="preserve"> </w:t>
      </w:r>
      <w:r>
        <w:t xml:space="preserve">Hosting "Frankfurt Finance Roundtables" at iconic venues (e.g., Römerberg, Messe Frankfurt), featuring ECB speakers and tailored networking for Banker clients.</w:t>
      </w:r>
    </w:p>
    <w:p>
      <w:pPr>
        <w:numPr>
          <w:ilvl w:val="0"/>
          <w:numId w:val="1005"/>
        </w:numPr>
        <w:pStyle w:val="Compact"/>
      </w:pPr>
      <w:r>
        <w:rPr>
          <w:bCs/>
          <w:b/>
        </w:rPr>
        <w:t xml:space="preserve">Partnerships with Local Institutions:</w:t>
      </w:r>
      <w:r>
        <w:t xml:space="preserve"> </w:t>
      </w:r>
      <w:r>
        <w:t xml:space="preserve">Collaborating with Deutsche Börse Group on ESG-linked financing products and sponsoring the annual "Frankfurt Finance Festival" to amplify visibility among Germany’s financial elite.</w:t>
      </w:r>
    </w:p>
    <w:bookmarkEnd w:id="26"/>
    <w:bookmarkEnd w:id="27"/>
    <w:bookmarkStart w:id="28" w:name="budget-allocation"/>
    <w:p>
      <w:pPr>
        <w:pStyle w:val="Heading2"/>
      </w:pPr>
      <w:r>
        <w:t xml:space="preserve">Budget Allocation</w:t>
      </w:r>
    </w:p>
    <w:p>
      <w:pPr>
        <w:pStyle w:val="FirstParagraph"/>
      </w:pPr>
      <w:r>
        <w:t xml:space="preserve">Total allocated budget: €1.8M (Year 1). Breakdown:</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Localized Digital Marketing</w:t>
      </w:r>
    </w:p>
    <w:p>
      <w:pPr>
        <w:pStyle w:val="BodyText"/>
      </w:pPr>
      <w:r>
        <w:t xml:space="preserve">€600,000 (33%)</w:t>
      </w:r>
    </w:p>
    <w:p>
      <w:pPr>
        <w:pStyle w:val="BodyText"/>
      </w:pPr>
      <w:r>
        <w:t xml:space="preserve">Frankfurt-targeted ads, CRM portal development, SEO for "banker frankfurt"</w:t>
      </w:r>
    </w:p>
    <w:p>
      <w:pPr>
        <w:pStyle w:val="BodyText"/>
      </w:pPr>
      <w:r>
        <w:t xml:space="preserve">Community Engagement</w:t>
      </w:r>
    </w:p>
    <w:p>
      <w:pPr>
        <w:pStyle w:val="BodyText"/>
      </w:pPr>
      <w:r>
        <w:t xml:space="preserve">€550,000 (31%)</w:t>
      </w:r>
    </w:p>
    <w:p>
      <w:pPr>
        <w:pStyle w:val="BodyText"/>
      </w:pPr>
      <w:r>
        <w:t xml:space="preserve">Event hosting, sponsorships at Frankfurt finance events</w:t>
      </w:r>
    </w:p>
    <w:p>
      <w:pPr>
        <w:pStyle w:val="BodyText"/>
      </w:pPr>
      <w:r>
        <w:t xml:space="preserve">Content &amp; Thought Leadership</w:t>
      </w:r>
    </w:p>
    <w:p>
      <w:pPr>
        <w:pStyle w:val="BodyText"/>
      </w:pPr>
      <w:r>
        <w:t xml:space="preserve">€420,000 (23%)</w:t>
      </w:r>
      <w:r>
        <w:br/>
      </w:r>
      <w:r>
        <w:t xml:space="preserve">(e.g., Frankfurt market reports)</w:t>
      </w:r>
    </w:p>
    <w:p>
      <w:pPr>
        <w:pStyle w:val="BodyText"/>
      </w:pPr>
      <w:r>
        <w:t xml:space="preserve">Partnership Development</w:t>
      </w:r>
    </w:p>
    <w:p>
      <w:pPr>
        <w:pStyle w:val="BodyText"/>
      </w:pPr>
      <w:r>
        <w:t xml:space="preserve">€230,000 (13%)</w:t>
      </w:r>
    </w:p>
    <w:p>
      <w:pPr>
        <w:pStyle w:val="BodyText"/>
      </w:pPr>
      <w:r>
        <w:t xml:space="preserve">Joint initiatives with Deutsche Börse, Frankfurt School</w:t>
      </w:r>
    </w:p>
    <w:bookmarkEnd w:id="28"/>
    <w:bookmarkStart w:id="29" w:name="timeline-accountability"/>
    <w:p>
      <w:pPr>
        <w:pStyle w:val="Heading2"/>
      </w:pPr>
      <w:r>
        <w:t xml:space="preserve">Timeline &amp; Accountability</w:t>
      </w:r>
    </w:p>
    <w:p>
      <w:pPr>
        <w:pStyle w:val="FirstParagraph"/>
      </w:pPr>
      <w:r>
        <w:t xml:space="preserve">The Marketing Plan execution is phased for Germany Frankfurt’s business cycles:</w:t>
      </w:r>
    </w:p>
    <w:p>
      <w:pPr>
        <w:numPr>
          <w:ilvl w:val="0"/>
          <w:numId w:val="1006"/>
        </w:numPr>
        <w:pStyle w:val="Compact"/>
      </w:pPr>
      <w:r>
        <w:rPr>
          <w:bCs/>
          <w:b/>
        </w:rPr>
        <w:t xml:space="preserve">Q1 2025:</w:t>
      </w:r>
      <w:r>
        <w:t xml:space="preserve"> </w:t>
      </w:r>
      <w:r>
        <w:t xml:space="preserve">Launch "Banker Frankfurt" campaign; secure Deutsche Börse partnership.</w:t>
      </w:r>
    </w:p>
    <w:p>
      <w:pPr>
        <w:numPr>
          <w:ilvl w:val="0"/>
          <w:numId w:val="1006"/>
        </w:numPr>
        <w:pStyle w:val="Compact"/>
      </w:pPr>
      <w:r>
        <w:rPr>
          <w:bCs/>
          <w:b/>
        </w:rPr>
        <w:t xml:space="preserve">Q3 2025:</w:t>
      </w:r>
      <w:r>
        <w:t xml:space="preserve"> </w:t>
      </w:r>
      <w:r>
        <w:t xml:space="preserve">Host inaugural Frankfurt Finance Roundtable; deploy CRM portal.</w:t>
      </w:r>
    </w:p>
    <w:p>
      <w:pPr>
        <w:numPr>
          <w:ilvl w:val="0"/>
          <w:numId w:val="1006"/>
        </w:numPr>
        <w:pStyle w:val="Compact"/>
      </w:pPr>
      <w:r>
        <w:rPr>
          <w:bCs/>
          <w:b/>
        </w:rPr>
        <w:t xml:space="preserve">H1 2026:</w:t>
      </w:r>
      <w:r>
        <w:t xml:space="preserve"> </w:t>
      </w:r>
      <w:r>
        <w:t xml:space="preserve">Achieve target of 100 new corporate clients; expand fintech partnerships.</w:t>
      </w:r>
    </w:p>
    <w:bookmarkEnd w:id="29"/>
    <w:bookmarkStart w:id="30" w:name="evaluation-metrics"/>
    <w:p>
      <w:pPr>
        <w:pStyle w:val="Heading2"/>
      </w:pPr>
      <w:r>
        <w:t xml:space="preserve">Evaluation Metrics</w:t>
      </w:r>
    </w:p>
    <w:p>
      <w:pPr>
        <w:pStyle w:val="FirstParagraph"/>
      </w:pPr>
      <w:r>
        <w:t xml:space="preserve">We track success through Frankfurt-specific KPIs:</w:t>
      </w:r>
    </w:p>
    <w:p>
      <w:pPr>
        <w:numPr>
          <w:ilvl w:val="0"/>
          <w:numId w:val="1007"/>
        </w:numPr>
        <w:pStyle w:val="Compact"/>
      </w:pPr>
      <w:r>
        <w:rPr>
          <w:bCs/>
          <w:b/>
        </w:rPr>
        <w:t xml:space="preserve">Market Penetration:</w:t>
      </w:r>
      <w:r>
        <w:t xml:space="preserve"> </w:t>
      </w:r>
      <w:r>
        <w:t xml:space="preserve">% share among Frankfurt-based DAX companies (tracked via BaFin data).</w:t>
      </w:r>
    </w:p>
    <w:p>
      <w:pPr>
        <w:numPr>
          <w:ilvl w:val="0"/>
          <w:numId w:val="1007"/>
        </w:numPr>
        <w:pStyle w:val="Compact"/>
      </w:pPr>
      <w:r>
        <w:rPr>
          <w:bCs/>
          <w:b/>
        </w:rPr>
        <w:t xml:space="preserve">Client Acquisition Cost (CAC):</w:t>
      </w:r>
      <w:r>
        <w:t xml:space="preserve"> </w:t>
      </w:r>
      <w:r>
        <w:t xml:space="preserve">Target €1,200/client in Germany Frankfurt vs. €1,850 industry average.</w:t>
      </w:r>
    </w:p>
    <w:p>
      <w:pPr>
        <w:numPr>
          <w:ilvl w:val="0"/>
          <w:numId w:val="1007"/>
        </w:numPr>
        <w:pStyle w:val="Compact"/>
      </w:pPr>
      <w:r>
        <w:rPr>
          <w:bCs/>
          <w:b/>
        </w:rPr>
        <w:t xml:space="preserve">NPS:</w:t>
      </w:r>
      <w:r>
        <w:t xml:space="preserve"> </w:t>
      </w:r>
      <w:r>
        <w:t xml:space="preserve">Minimum 75 among Frankfurt corporate clients (vs. 68 industry benchmark).</w:t>
      </w:r>
    </w:p>
    <w:p>
      <w:pPr>
        <w:numPr>
          <w:ilvl w:val="0"/>
          <w:numId w:val="1007"/>
        </w:numPr>
        <w:pStyle w:val="Compact"/>
      </w:pPr>
      <w:r>
        <w:rPr>
          <w:bCs/>
          <w:b/>
        </w:rPr>
        <w:t xml:space="preserve">Event ROI:</w:t>
      </w:r>
      <w:r>
        <w:t xml:space="preserve"> </w:t>
      </w:r>
      <w:r>
        <w:t xml:space="preserve">3:1 lead-to-customer ratio from Frankfurt events.</w:t>
      </w:r>
    </w:p>
    <w:bookmarkEnd w:id="30"/>
    <w:bookmarkStart w:id="31" w:name="conclusion"/>
    <w:p>
      <w:pPr>
        <w:pStyle w:val="Heading2"/>
      </w:pPr>
      <w:r>
        <w:t xml:space="preserve">Conclusion</w:t>
      </w:r>
    </w:p>
    <w:p>
      <w:pPr>
        <w:pStyle w:val="FirstParagraph"/>
      </w:pPr>
      <w:r>
        <w:t xml:space="preserve">This Marketing Plan positions Banker not as a banking provider, but as an intrinsic part of the Germany Frankfurt financial ecosystem. By embedding itself in Frankfurt’s regulatory, cultural, and community fabric—through hyper-localized strategies rather than generic campaigns—we will transform Banker into the go-to partner for clients navigating Europe’s most influential financial hub. Every initiative from digital engagement to event sponsorship reinforces "Banker: The Frankfurt Financial Partner," ensuring we capture value where it matters most. As Germany Frankfurt continues to evolve as Europe’s economic nerve center, this plan ensures Banker doesn’t just participate in its success—it drives it.</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Germany Frankfurt Focus</dc:title>
  <dc:creator/>
  <dc:language>en</dc:language>
  <cp:keywords/>
  <dcterms:created xsi:type="dcterms:W3CDTF">2026-07-21T06:04:20Z</dcterms:created>
  <dcterms:modified xsi:type="dcterms:W3CDTF">2026-07-21T06:04:20Z</dcterms:modified>
</cp:coreProperties>
</file>

<file path=docProps/custom.xml><?xml version="1.0" encoding="utf-8"?>
<Properties xmlns="http://schemas.openxmlformats.org/officeDocument/2006/custom-properties" xmlns:vt="http://schemas.openxmlformats.org/officeDocument/2006/docPropsVTypes"/>
</file>