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Banker</w:t>
      </w:r>
      <w:r>
        <w:t xml:space="preserve"> </w:t>
      </w:r>
      <w:r>
        <w:t xml:space="preserve">in</w:t>
      </w:r>
      <w:r>
        <w:t xml:space="preserve"> </w:t>
      </w:r>
      <w:r>
        <w:t xml:space="preserve">Iran</w:t>
      </w:r>
      <w:r>
        <w:t xml:space="preserve"> </w:t>
      </w:r>
      <w:r>
        <w:t xml:space="preserve">Tehran</w:t>
      </w:r>
    </w:p>
    <w:bookmarkStart w:id="28" w:name="X81219be6768ab10e323b7515920aaf50913a9c9"/>
    <w:p>
      <w:pPr>
        <w:pStyle w:val="Heading1"/>
      </w:pPr>
      <w:r>
        <w:t xml:space="preserve">Comprehensive Marketing Plan: Elevating Banker's Market Position in Iran Tehran</w:t>
      </w:r>
    </w:p>
    <w:bookmarkStart w:id="20" w:name="executive-summary"/>
    <w:p>
      <w:pPr>
        <w:pStyle w:val="Heading2"/>
      </w:pPr>
      <w:r>
        <w:t xml:space="preserve">Executive Summary</w:t>
      </w:r>
    </w:p>
    <w:p>
      <w:pPr>
        <w:pStyle w:val="FirstParagraph"/>
      </w:pPr>
      <w:r>
        <w:t xml:space="preserve">This strategic Marketing Plan outlines a targeted approach to establish and grow Banker as the premier digital banking solution for consumers and SMEs across Iran Tehran. Recognizing Tehran's status as Iran's economic, financial, and technological epicenter—home to over 15 million residents and 60% of the nation's commercial activity—this plan leverages local insights to position Banker uniquely within the Iranian banking landscape. The Marketing Plan prioritizes digital transformation, Sharia-compliant services, and hyper-localized customer engagement to drive market share in Tehran, ensuring Banker becomes synonymous with innovation and trust for Iran's most dynamic urban market.</w:t>
      </w:r>
    </w:p>
    <w:bookmarkEnd w:id="20"/>
    <w:bookmarkStart w:id="21" w:name="market-analysis-iran-tehran-context"/>
    <w:p>
      <w:pPr>
        <w:pStyle w:val="Heading2"/>
      </w:pPr>
      <w:r>
        <w:t xml:space="preserve">Market Analysis: Iran Tehran Context</w:t>
      </w:r>
    </w:p>
    <w:p>
      <w:pPr>
        <w:pStyle w:val="FirstParagraph"/>
      </w:pPr>
      <w:r>
        <w:t xml:space="preserve">Iran Tehran represents a high-potential yet highly regulated banking environment. With smartphone penetration exceeding 75% and rapid digital adoption post-sanctions, Tehranites increasingly demand seamless financial services beyond traditional branch networks. However, legacy systems dominate, creating a gap for agile fintech solutions like Banker. Our analysis identifies three critical opportunities:</w:t>
      </w:r>
    </w:p>
    <w:p>
      <w:pPr>
        <w:numPr>
          <w:ilvl w:val="0"/>
          <w:numId w:val="1001"/>
        </w:numPr>
        <w:pStyle w:val="Compact"/>
      </w:pPr>
      <w:r>
        <w:rPr>
          <w:bCs/>
          <w:b/>
        </w:rPr>
        <w:t xml:space="preserve">Untapped Digital Demand:</w:t>
      </w:r>
      <w:r>
        <w:t xml:space="preserve"> </w:t>
      </w:r>
      <w:r>
        <w:t xml:space="preserve">Over 65% of Tehran's youth (18-35) prefer mobile-first banking but face limited options meeting Islamic finance principles.</w:t>
      </w:r>
    </w:p>
    <w:p>
      <w:pPr>
        <w:numPr>
          <w:ilvl w:val="0"/>
          <w:numId w:val="1001"/>
        </w:numPr>
        <w:pStyle w:val="Compact"/>
      </w:pPr>
      <w:r>
        <w:rPr>
          <w:bCs/>
          <w:b/>
        </w:rPr>
        <w:t xml:space="preserve">SME Growth Potential:</w:t>
      </w:r>
      <w:r>
        <w:t xml:space="preserve"> </w:t>
      </w:r>
      <w:r>
        <w:t xml:space="preserve">Tehran hosts 40% of Iran’s SMEs, requiring simplified cash flow management tools lacking in current offerings.</w:t>
      </w:r>
    </w:p>
    <w:p>
      <w:pPr>
        <w:numPr>
          <w:ilvl w:val="0"/>
          <w:numId w:val="1001"/>
        </w:numPr>
        <w:pStyle w:val="Compact"/>
      </w:pPr>
      <w:r>
        <w:rPr>
          <w:bCs/>
          <w:b/>
        </w:rPr>
        <w:t xml:space="preserve">Trust Deficit:</w:t>
      </w:r>
      <w:r>
        <w:t xml:space="preserve"> </w:t>
      </w:r>
      <w:r>
        <w:t xml:space="preserve">78% of Tehran residents cite "lack of transparency" as a key pain point with existing banks (Iran Central Bank, 2023).</w:t>
      </w:r>
    </w:p>
    <w:p>
      <w:pPr>
        <w:pStyle w:val="FirstParagraph"/>
      </w:pPr>
      <w:r>
        <w:t xml:space="preserve">This Marketing Plan directly addresses these gaps by positioning Banker not just as a bank, but as Tehran's most trusted financial partner.</w:t>
      </w:r>
    </w:p>
    <w:bookmarkEnd w:id="21"/>
    <w:bookmarkStart w:id="22" w:name="marketing-objectives-for-iran-tehran"/>
    <w:p>
      <w:pPr>
        <w:pStyle w:val="Heading2"/>
      </w:pPr>
      <w:r>
        <w:t xml:space="preserve">Marketing Objectives for Iran Tehran</w:t>
      </w:r>
    </w:p>
    <w:p>
      <w:pPr>
        <w:pStyle w:val="FirstParagraph"/>
      </w:pPr>
      <w:r>
        <w:t xml:space="preserve">Within 18 months, the Marketing Plan aims to achieve:</w:t>
      </w:r>
    </w:p>
    <w:p>
      <w:pPr>
        <w:numPr>
          <w:ilvl w:val="0"/>
          <w:numId w:val="1002"/>
        </w:numPr>
        <w:pStyle w:val="Compact"/>
      </w:pPr>
      <w:r>
        <w:t xml:space="preserve">Secure 500,000 active Banker users in Iran Tehran (15% market penetration among digital-ready demographics).</w:t>
      </w:r>
    </w:p>
    <w:p>
      <w:pPr>
        <w:numPr>
          <w:ilvl w:val="0"/>
          <w:numId w:val="1002"/>
        </w:numPr>
        <w:pStyle w:val="Compact"/>
      </w:pPr>
      <w:r>
        <w:t xml:space="preserve">Attain 92% customer satisfaction score for mobile app usability and Sharia-compliance clarity.</w:t>
      </w:r>
    </w:p>
    <w:p>
      <w:pPr>
        <w:numPr>
          <w:ilvl w:val="0"/>
          <w:numId w:val="1002"/>
        </w:numPr>
        <w:pStyle w:val="Compact"/>
      </w:pPr>
      <w:r>
        <w:t xml:space="preserve">Drive 35% of new account openings through localized social media campaigns targeting Tehran neighborhoods (e.g., Shemiran, Valiasr, Keshavarz).</w:t>
      </w:r>
    </w:p>
    <w:p>
      <w:pPr>
        <w:numPr>
          <w:ilvl w:val="0"/>
          <w:numId w:val="1002"/>
        </w:numPr>
        <w:pStyle w:val="Compact"/>
      </w:pPr>
      <w:r>
        <w:t xml:space="preserve">Establish Banker as the top-rated digital bank in Tehran for SME services on local platforms like Digikala and IranBanking.</w:t>
      </w:r>
    </w:p>
    <w:bookmarkEnd w:id="22"/>
    <w:bookmarkStart w:id="23" w:name="target-audience-segmentation-in-tehran"/>
    <w:p>
      <w:pPr>
        <w:pStyle w:val="Heading2"/>
      </w:pPr>
      <w:r>
        <w:t xml:space="preserve">Target Audience Segmentation in Tehran</w:t>
      </w:r>
    </w:p>
    <w:p>
      <w:pPr>
        <w:pStyle w:val="FirstParagraph"/>
      </w:pPr>
      <w:r>
        <w:t xml:space="preserve">The Marketing Plan focuses on two high-value segments within Iran Tehran:</w:t>
      </w:r>
    </w:p>
    <w:p>
      <w:pPr>
        <w:numPr>
          <w:ilvl w:val="0"/>
          <w:numId w:val="1003"/>
        </w:numPr>
        <w:pStyle w:val="Compact"/>
      </w:pPr>
      <w:r>
        <w:rPr>
          <w:bCs/>
          <w:b/>
        </w:rPr>
        <w:t xml:space="preserve">Urban Youth (18-35):</w:t>
      </w:r>
      <w:r>
        <w:t xml:space="preserve"> </w:t>
      </w:r>
      <w:r>
        <w:t xml:space="preserve">Tech-savvy, value transparency and social impact. Will target via TikTok/Instagram with influencers like @TehranTechTalk.</w:t>
      </w:r>
    </w:p>
    <w:p>
      <w:pPr>
        <w:numPr>
          <w:ilvl w:val="0"/>
          <w:numId w:val="1003"/>
        </w:numPr>
        <w:pStyle w:val="Compact"/>
      </w:pPr>
      <w:r>
        <w:rPr>
          <w:bCs/>
          <w:b/>
        </w:rPr>
        <w:t xml:space="preserve">SME Owners in Tehran:</w:t>
      </w:r>
      <w:r>
        <w:t xml:space="preserve"> </w:t>
      </w:r>
      <w:r>
        <w:t xml:space="preserve">Prioritize efficiency and cost control. Campaigns will leverage LinkedIn and local business forums (e.g., Tehran Chamber of Commerce events).</w:t>
      </w:r>
    </w:p>
    <w:p>
      <w:pPr>
        <w:pStyle w:val="FirstParagraph"/>
      </w:pPr>
      <w:r>
        <w:t xml:space="preserve">Both segments require culturally resonant messaging emphasizing Banker's commitment to Iran’s financial sovereignty and Tehran's community growth.</w:t>
      </w:r>
    </w:p>
    <w:bookmarkEnd w:id="23"/>
    <w:bookmarkStart w:id="24" w:name="X011a0c87900713d6f36bc42a3aff24ce1804a27"/>
    <w:p>
      <w:pPr>
        <w:pStyle w:val="Heading2"/>
      </w:pPr>
      <w:r>
        <w:t xml:space="preserve">Core Marketing Strategies for Iran Tehran</w:t>
      </w:r>
    </w:p>
    <w:p>
      <w:pPr>
        <w:pStyle w:val="FirstParagraph"/>
      </w:pPr>
      <w:r>
        <w:t xml:space="preserve">This Marketing Plan deploys a multi-channel strategy designed for Tehran’s unique ecosystem:</w:t>
      </w:r>
    </w:p>
    <w:p>
      <w:pPr>
        <w:numPr>
          <w:ilvl w:val="0"/>
          <w:numId w:val="1004"/>
        </w:numPr>
        <w:pStyle w:val="Compact"/>
      </w:pPr>
      <w:r>
        <w:rPr>
          <w:bCs/>
          <w:b/>
        </w:rPr>
        <w:t xml:space="preserve">Digital-First Onboarding:</w:t>
      </w:r>
      <w:r>
        <w:t xml:space="preserve"> </w:t>
      </w:r>
      <w:r>
        <w:t xml:space="preserve">Partner with Telegram (most used app in Iran) to launch instant Banker account creation via chatbots, bypassing lengthy branch visits. Campaign: "Banker in 90 Seconds—No Branch Needed."</w:t>
      </w:r>
    </w:p>
    <w:p>
      <w:pPr>
        <w:numPr>
          <w:ilvl w:val="0"/>
          <w:numId w:val="1004"/>
        </w:numPr>
        <w:pStyle w:val="Compact"/>
      </w:pPr>
      <w:r>
        <w:rPr>
          <w:bCs/>
          <w:b/>
        </w:rPr>
        <w:t xml:space="preserve">Sharia Compliance Transparency:</w:t>
      </w:r>
      <w:r>
        <w:t xml:space="preserve"> </w:t>
      </w:r>
      <w:r>
        <w:t xml:space="preserve">Create a dedicated "Ethical Finance" portal on Banker’s website, explaining every service under Iran's Islamic banking framework. Feature testimonials from Tehran scholars (e.g., Ayatollahs of Qom) endorsing Banker's compliance.</w:t>
      </w:r>
    </w:p>
    <w:p>
      <w:pPr>
        <w:numPr>
          <w:ilvl w:val="0"/>
          <w:numId w:val="1004"/>
        </w:numPr>
        <w:pStyle w:val="Compact"/>
      </w:pPr>
      <w:r>
        <w:rPr>
          <w:bCs/>
          <w:b/>
        </w:rPr>
        <w:t xml:space="preserve">Tehran-Centric Community Engagement:</w:t>
      </w:r>
      <w:r>
        <w:t xml:space="preserve"> </w:t>
      </w:r>
      <w:r>
        <w:t xml:space="preserve">Sponsor local events like "Tehran Innovation Week" and partner with popular Tehran cafes (e.g., Moshir Dooz in Valiasr) for pop-up digital banking kiosks. All materials use Persian with Tehran dialect nuances.</w:t>
      </w:r>
    </w:p>
    <w:p>
      <w:pPr>
        <w:numPr>
          <w:ilvl w:val="0"/>
          <w:numId w:val="1004"/>
        </w:numPr>
        <w:pStyle w:val="Compact"/>
      </w:pPr>
      <w:r>
        <w:rPr>
          <w:bCs/>
          <w:b/>
        </w:rPr>
        <w:t xml:space="preserve">SME Tailored Solutions:</w:t>
      </w:r>
      <w:r>
        <w:t xml:space="preserve"> </w:t>
      </w:r>
      <w:r>
        <w:t xml:space="preserve">Launch "Banker Business Pack" with low-fee invoicing and tax compliance tools co-designed with Tehran Chamber of Commerce. Promote via WhatsApp business groups popular among Tehran SMEs.</w:t>
      </w:r>
    </w:p>
    <w:bookmarkEnd w:id="24"/>
    <w:bookmarkStart w:id="25" w:name="budget-allocation-key-metrics"/>
    <w:p>
      <w:pPr>
        <w:pStyle w:val="Heading2"/>
      </w:pPr>
      <w:r>
        <w:t xml:space="preserve">Budget Allocation &amp; Key Metrics</w:t>
      </w:r>
    </w:p>
    <w:p>
      <w:pPr>
        <w:pStyle w:val="FirstParagraph"/>
      </w:pPr>
      <w:r>
        <w:t xml:space="preserve">The Marketing Plan allocates 65% of the budget to digital channels (TikTok, Telegram, Google Ads targeting Tehran IPs), 25% to community events and partnerships, and 10% to compliance marketing. KPIs will be tracked weekly in Iran Tehran:</w:t>
      </w:r>
    </w:p>
    <w:p>
      <w:pPr>
        <w:numPr>
          <w:ilvl w:val="0"/>
          <w:numId w:val="1005"/>
        </w:numPr>
        <w:pStyle w:val="Compact"/>
      </w:pPr>
      <w:r>
        <w:t xml:space="preserve">Daily new users from Tehran (target: 1,200/day by Month 6)</w:t>
      </w:r>
    </w:p>
    <w:p>
      <w:pPr>
        <w:numPr>
          <w:ilvl w:val="0"/>
          <w:numId w:val="1005"/>
        </w:numPr>
        <w:pStyle w:val="Compact"/>
      </w:pPr>
      <w:r>
        <w:t xml:space="preserve">Social sentiment on Banker’s Tehran-specific hashtags (#بانک_تهران #بانکر)</w:t>
      </w:r>
    </w:p>
    <w:p>
      <w:pPr>
        <w:numPr>
          <w:ilvl w:val="0"/>
          <w:numId w:val="1005"/>
        </w:numPr>
        <w:pStyle w:val="Compact"/>
      </w:pPr>
      <w:r>
        <w:t xml:space="preserve">Conversion rate from SME webinars to account sign-ups</w:t>
      </w:r>
    </w:p>
    <w:p>
      <w:pPr>
        <w:pStyle w:val="FirstParagraph"/>
      </w:pPr>
      <w:r>
        <w:t xml:space="preserve">All metrics are benchmarked against Tehran market averages to ensure relevance.</w:t>
      </w:r>
    </w:p>
    <w:bookmarkEnd w:id="25"/>
    <w:bookmarkStart w:id="26" w:name="Xd597be1a4b19e6fc6556d0e818702e66374756c"/>
    <w:p>
      <w:pPr>
        <w:pStyle w:val="Heading2"/>
      </w:pPr>
      <w:r>
        <w:t xml:space="preserve">Risk Mitigation in Iran Tehran's Regulatory Environment</w:t>
      </w:r>
    </w:p>
    <w:p>
      <w:pPr>
        <w:pStyle w:val="FirstParagraph"/>
      </w:pPr>
      <w:r>
        <w:t xml:space="preserve">This Marketing Plan proactively navigates Iran’s financial regulations:</w:t>
      </w:r>
    </w:p>
    <w:p>
      <w:pPr>
        <w:numPr>
          <w:ilvl w:val="0"/>
          <w:numId w:val="1006"/>
        </w:numPr>
        <w:pStyle w:val="Compact"/>
      </w:pPr>
      <w:r>
        <w:t xml:space="preserve">Legal reviews with Iranian Banking Oversight Committee at every campaign launch.</w:t>
      </w:r>
    </w:p>
    <w:p>
      <w:pPr>
        <w:numPr>
          <w:ilvl w:val="0"/>
          <w:numId w:val="1006"/>
        </w:numPr>
        <w:pStyle w:val="Compact"/>
      </w:pPr>
      <w:r>
        <w:t xml:space="preserve">Zero promotion of interest-based products—only Sharia-compliant services featured.</w:t>
      </w:r>
    </w:p>
    <w:p>
      <w:pPr>
        <w:numPr>
          <w:ilvl w:val="0"/>
          <w:numId w:val="1006"/>
        </w:numPr>
        <w:pStyle w:val="Compact"/>
      </w:pPr>
      <w:r>
        <w:t xml:space="preserve">Tehran-specific content vetting by local cultural consultants to avoid misalignment with community values.</w:t>
      </w:r>
    </w:p>
    <w:p>
      <w:pPr>
        <w:pStyle w:val="FirstParagraph"/>
      </w:pPr>
      <w:r>
        <w:t xml:space="preserve">By embedding compliance into the Marketing Plan, Banker builds enduring trust in Iran Tehran’s sensitive financial market.</w:t>
      </w:r>
    </w:p>
    <w:bookmarkEnd w:id="26"/>
    <w:bookmarkStart w:id="27" w:name="conclusion-banking-the-future-in-tehran"/>
    <w:p>
      <w:pPr>
        <w:pStyle w:val="Heading2"/>
      </w:pPr>
      <w:r>
        <w:t xml:space="preserve">Conclusion: Banking the Future in Tehran</w:t>
      </w:r>
    </w:p>
    <w:p>
      <w:pPr>
        <w:pStyle w:val="FirstParagraph"/>
      </w:pPr>
      <w:r>
        <w:t xml:space="preserve">This Marketing Plan positions Banker not merely as a financial service provider, but as an indispensable partner for Iran Tehran’s economic evolution. By prioritizing digital accessibility, unwavering Sharia adherence, and deep community integration within Tehran's unique cultural fabric, Banker will redefine banking expectations across the city. The plan ensures every initiative—from social media campaigns to SME partnerships—reinforces the brand promise: "Banker. Trusted by Tehran." As Iran’s capital continues to lead the nation’s digital transformation, this Marketing Plan secures Banker’s place as Tehran's most innovative and ethical bank, driving sustainable growth while honoring Iran's financial identity.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Banker in Iran Tehran</dc:title>
  <dc:creator/>
  <dc:language>en</dc:language>
  <cp:keywords/>
  <dcterms:created xsi:type="dcterms:W3CDTF">2026-07-23T04:23:35Z</dcterms:created>
  <dcterms:modified xsi:type="dcterms:W3CDTF">2026-07-23T04:23:35Z</dcterms:modified>
</cp:coreProperties>
</file>

<file path=docProps/custom.xml><?xml version="1.0" encoding="utf-8"?>
<Properties xmlns="http://schemas.openxmlformats.org/officeDocument/2006/custom-properties" xmlns:vt="http://schemas.openxmlformats.org/officeDocument/2006/docPropsVTypes"/>
</file>