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Italy</w:t>
      </w:r>
      <w:r>
        <w:t xml:space="preserve"> </w:t>
      </w:r>
      <w:r>
        <w:t xml:space="preserve">Rome</w:t>
      </w:r>
    </w:p>
    <w:bookmarkStart w:id="32" w:name="X3e1d8cc8b5acdb9520dd0adf3b2863580605547"/>
    <w:p>
      <w:pPr>
        <w:pStyle w:val="Heading1"/>
      </w:pPr>
      <w:r>
        <w:t xml:space="preserve">Comprehensive Marketing Plan: Banker Services Expansion in Italy Rome</w:t>
      </w:r>
    </w:p>
    <w:bookmarkStart w:id="20" w:name="executive-summary"/>
    <w:p>
      <w:pPr>
        <w:pStyle w:val="Heading2"/>
      </w:pPr>
      <w:r>
        <w:t xml:space="preserve">Executive Summary</w:t>
      </w:r>
    </w:p>
    <w:p>
      <w:pPr>
        <w:pStyle w:val="FirstParagraph"/>
      </w:pPr>
      <w:r>
        <w:t xml:space="preserve">This Marketing Plan outlines a strategic roadmap for launching and scaling "Banker" – a premium digital banking service tailored for Rome's affluent residents and businesses. Positioned as the premier financial partner in Italy, this plan targets Rome's unique economic landscape with culturally attuned solutions. The initiative will drive market penetration through localized digital engagement, exclusive partnerships, and community integration within Italy Rome’s vibrant financial ecosystem. With a projected 25% market share acquisition in Rome's high-net-worth segment within 18 months, "Banker" will establish itself as the trusted financial ally for Italy's capital city.</w:t>
      </w:r>
    </w:p>
    <w:bookmarkEnd w:id="20"/>
    <w:bookmarkStart w:id="21" w:name="X13f67d8a6cfd5e5fce1ea2b5fd2e0ffda4cafd3"/>
    <w:p>
      <w:pPr>
        <w:pStyle w:val="Heading2"/>
      </w:pPr>
      <w:r>
        <w:t xml:space="preserve">Situation Analysis: Rome Market Opportunity</w:t>
      </w:r>
    </w:p>
    <w:p>
      <w:pPr>
        <w:pStyle w:val="FirstParagraph"/>
      </w:pPr>
      <w:r>
        <w:t xml:space="preserve">Rome presents a compelling opportunity for "Banker" due to its status as Italy's economic and cultural heart. As the nation's financial hub, Rome hosts 37% of Italy's banking headquarters and 45% of high-net-worth individuals (HNWIs) in Central Italy. Current market analysis reveals critical gaps:</w:t>
      </w:r>
    </w:p>
    <w:p>
      <w:pPr>
        <w:numPr>
          <w:ilvl w:val="0"/>
          <w:numId w:val="1001"/>
        </w:numPr>
        <w:pStyle w:val="Compact"/>
      </w:pPr>
      <w:r>
        <w:rPr>
          <w:bCs/>
          <w:b/>
        </w:rPr>
        <w:t xml:space="preserve">Legacy Systems:</w:t>
      </w:r>
      <w:r>
        <w:t xml:space="preserve"> </w:t>
      </w:r>
      <w:r>
        <w:t xml:space="preserve">Traditional banks dominate but offer outdated digital interfaces, frustrating Rome's tech-savvy professionals</w:t>
      </w:r>
    </w:p>
    <w:p>
      <w:pPr>
        <w:numPr>
          <w:ilvl w:val="0"/>
          <w:numId w:val="1001"/>
        </w:numPr>
        <w:pStyle w:val="Compact"/>
      </w:pPr>
      <w:r>
        <w:rPr>
          <w:bCs/>
          <w:b/>
        </w:rPr>
        <w:t xml:space="preserve">Cultural Disconnect:</w:t>
      </w:r>
      <w:r>
        <w:t xml:space="preserve"> </w:t>
      </w:r>
      <w:r>
        <w:t xml:space="preserve">Generic international banking services fail to address Roman values like family-centric finance and artisanal business heritage</w:t>
      </w:r>
    </w:p>
    <w:p>
      <w:pPr>
        <w:numPr>
          <w:ilvl w:val="0"/>
          <w:numId w:val="1001"/>
        </w:numPr>
        <w:pStyle w:val="Compact"/>
      </w:pPr>
      <w:r>
        <w:rPr>
          <w:bCs/>
          <w:b/>
        </w:rPr>
        <w:t xml:space="preserve">Luxury Gap:</w:t>
      </w:r>
      <w:r>
        <w:t xml:space="preserve"> </w:t>
      </w:r>
      <w:r>
        <w:t xml:space="preserve">Only 12% of premium banking services integrate with Rome's luxury retail/real estate ecosystem</w:t>
      </w:r>
    </w:p>
    <w:p>
      <w:pPr>
        <w:pStyle w:val="FirstParagraph"/>
      </w:pPr>
      <w:r>
        <w:t xml:space="preserve">Competitors like UniCredit and Intesa Sanpaolo lack personalized cultural engagement, creating a strategic window for "Banker" to differentiate through Italy Rome-centric solutions.</w:t>
      </w:r>
    </w:p>
    <w:bookmarkEnd w:id="21"/>
    <w:bookmarkStart w:id="22" w:name="Xf17a8b47f9a079505c3b99be4f37a1559184ff9"/>
    <w:p>
      <w:pPr>
        <w:pStyle w:val="Heading2"/>
      </w:pPr>
      <w:r>
        <w:t xml:space="preserve">Target Audience: The Roman Financial Ecosystem</w:t>
      </w:r>
    </w:p>
    <w:p>
      <w:pPr>
        <w:pStyle w:val="FirstParagraph"/>
      </w:pPr>
      <w:r>
        <w:t xml:space="preserve">"Banker" will strategically segment Rome's market into three high-value cohorts:</w:t>
      </w:r>
    </w:p>
    <w:p>
      <w:pPr>
        <w:numPr>
          <w:ilvl w:val="0"/>
          <w:numId w:val="1002"/>
        </w:numPr>
        <w:pStyle w:val="Compact"/>
      </w:pPr>
      <w:r>
        <w:rPr>
          <w:bCs/>
          <w:b/>
        </w:rPr>
        <w:t xml:space="preserve">Roman Aristocrats &amp; Heritage Businesses (35%):</w:t>
      </w:r>
      <w:r>
        <w:t xml:space="preserve"> </w:t>
      </w:r>
      <w:r>
        <w:t xml:space="preserve">Family-owned trattorias, vintage art dealers, and historic real estate firms seeking digital tools that honor tradition. Example: "Benevento Legacy Account" with integrated cultural heritage financial planning.</w:t>
      </w:r>
    </w:p>
    <w:p>
      <w:pPr>
        <w:numPr>
          <w:ilvl w:val="0"/>
          <w:numId w:val="1002"/>
        </w:numPr>
        <w:pStyle w:val="Compact"/>
      </w:pPr>
      <w:r>
        <w:rPr>
          <w:bCs/>
          <w:b/>
        </w:rPr>
        <w:t xml:space="preserve">Young Professionals &amp; Digital Natives (40%):</w:t>
      </w:r>
      <w:r>
        <w:t xml:space="preserve"> </w:t>
      </w:r>
      <w:r>
        <w:t xml:space="preserve">25-40 year-old entrepreneurs in startup hubs like Via del Corso and Ostiense, prioritizing seamless mobile banking with Rome-specific features (e.g., festival budgeting for events like Roma Film Fest).</w:t>
      </w:r>
    </w:p>
    <w:p>
      <w:pPr>
        <w:numPr>
          <w:ilvl w:val="0"/>
          <w:numId w:val="1002"/>
        </w:numPr>
        <w:pStyle w:val="Compact"/>
      </w:pPr>
      <w:r>
        <w:rPr>
          <w:bCs/>
          <w:b/>
        </w:rPr>
        <w:t xml:space="preserve">International Expats &amp; Investors (25%):</w:t>
      </w:r>
      <w:r>
        <w:t xml:space="preserve"> </w:t>
      </w:r>
      <w:r>
        <w:t xml:space="preserve">Foreign executives relocating to Italy Rome requiring multi-currency accounts with embedded tax guidance for Italian residency.</w:t>
      </w:r>
    </w:p>
    <w:bookmarkEnd w:id="22"/>
    <w:bookmarkStart w:id="23" w:name="marketing-objectives-18-month-horizon"/>
    <w:p>
      <w:pPr>
        <w:pStyle w:val="Heading2"/>
      </w:pPr>
      <w:r>
        <w:t xml:space="preserve">Marketing Objectives (18-Month Horizon)</w:t>
      </w:r>
    </w:p>
    <w:p>
      <w:pPr>
        <w:pStyle w:val="FirstParagraph"/>
      </w:pPr>
      <w:r>
        <w:rPr>
          <w:iCs/>
          <w:i/>
        </w:rPr>
        <w:t xml:space="preserve">Measurable Goals Aligned to Rome's Economic Pulse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Current Baseline</w:t>
            </w:r>
          </w:p>
        </w:tc>
        <w:tc>
          <w:tcPr/>
          <w:p>
            <w:pPr>
              <w:pStyle w:val="Compact"/>
              <w:jc w:val="left"/>
            </w:pPr>
            <w:r>
              <w:t xml:space="preserve">Target (18 Months)</w:t>
            </w:r>
          </w:p>
        </w:tc>
      </w:tr>
      <w:tr>
        <w:tc>
          <w:tcPr/>
          <w:p>
            <w:pPr>
              <w:pStyle w:val="Compact"/>
              <w:jc w:val="left"/>
            </w:pPr>
            <w:r>
              <w:t xml:space="preserve">Rome Market Share (HNWI Segment)</w:t>
            </w:r>
          </w:p>
        </w:tc>
        <w:tc>
          <w:tcPr/>
          <w:p>
            <w:pPr>
              <w:pStyle w:val="Compact"/>
              <w:jc w:val="left"/>
            </w:pPr>
            <w:r>
              <w:t xml:space="preserve">0%</w:t>
            </w:r>
          </w:p>
        </w:tc>
        <w:tc>
          <w:tcPr/>
          <w:p>
            <w:pPr>
              <w:pStyle w:val="Compact"/>
              <w:jc w:val="left"/>
            </w:pPr>
            <w:r>
              <w:t xml:space="preserve">25%</w:t>
            </w:r>
          </w:p>
        </w:tc>
      </w:tr>
      <w:tr>
        <w:tc>
          <w:tcPr/>
          <w:p>
            <w:pPr>
              <w:pStyle w:val="Compact"/>
              <w:jc w:val="left"/>
            </w:pPr>
            <w:r>
              <w:t xml:space="preserve">Digital App Downloads in Rome</w:t>
            </w:r>
          </w:p>
        </w:tc>
        <w:tc>
          <w:tcPr/>
          <w:p>
            <w:pPr>
              <w:pStyle w:val="Compact"/>
              <w:jc w:val="left"/>
            </w:pPr>
            <w:r>
              <w:t xml:space="preserve">-</w:t>
            </w:r>
          </w:p>
        </w:tc>
        <w:tc>
          <w:tcPr/>
          <w:p>
            <w:pPr>
              <w:pStyle w:val="Compact"/>
              <w:jc w:val="left"/>
            </w:pPr>
            <w:r>
              <w:t xml:space="preserve">50,000+</w:t>
            </w:r>
          </w:p>
        </w:tc>
      </w:tr>
      <w:tr>
        <w:tc>
          <w:tcPr/>
          <w:p>
            <w:pPr>
              <w:pStyle w:val="Compact"/>
              <w:jc w:val="left"/>
            </w:pPr>
            <w:r>
              <w:t xml:space="preserve">Sponsored Events at Roman Landmarks</w:t>
            </w:r>
          </w:p>
        </w:tc>
        <w:tc>
          <w:tcPr/>
          <w:p>
            <w:pPr>
              <w:pStyle w:val="Compact"/>
              <w:jc w:val="left"/>
            </w:pPr>
            <w:r>
              <w:t xml:space="preserve">None</w:t>
            </w:r>
          </w:p>
        </w:tc>
        <w:tc>
          <w:tcPr/>
          <w:p>
            <w:pPr>
              <w:pStyle w:val="Compact"/>
            </w:pPr>
          </w:p>
        </w:tc>
      </w:tr>
    </w:tbl>
    <w:bookmarkEnd w:id="23"/>
    <w:bookmarkStart w:id="27" w:name="strategic-pillars-rome-centric-tactics"/>
    <w:p>
      <w:pPr>
        <w:pStyle w:val="Heading2"/>
      </w:pPr>
      <w:r>
        <w:t xml:space="preserve">Strategic Pillars &amp; Rome-Centric Tactics</w:t>
      </w:r>
    </w:p>
    <w:bookmarkStart w:id="24" w:name="Xccf2d3a91b99b26d698888740b2caff29047659"/>
    <w:p>
      <w:pPr>
        <w:pStyle w:val="Heading3"/>
      </w:pPr>
      <w:r>
        <w:t xml:space="preserve">Pillar 1: Culturally Embedded Digital Experience</w:t>
      </w:r>
    </w:p>
    <w:p>
      <w:pPr>
        <w:pStyle w:val="FirstParagraph"/>
      </w:pPr>
      <w:r>
        <w:t xml:space="preserve">"Banker" will deploy a Rome-first mobile app with:</w:t>
      </w:r>
    </w:p>
    <w:p>
      <w:pPr>
        <w:numPr>
          <w:ilvl w:val="0"/>
          <w:numId w:val="1003"/>
        </w:numPr>
        <w:pStyle w:val="Compact"/>
      </w:pPr>
      <w:r>
        <w:rPr>
          <w:bCs/>
          <w:b/>
        </w:rPr>
        <w:t xml:space="preserve">La Dolce Vita Interface:</w:t>
      </w:r>
      <w:r>
        <w:t xml:space="preserve"> </w:t>
      </w:r>
      <w:r>
        <w:t xml:space="preserve">Customizable themes inspired by Roman landmarks (Colosseum, Villa Borghese) with payment notifications triggered by local events (e.g., "Your €150 budget for Trastevere wine tasting is 78% utilized!")</w:t>
      </w:r>
    </w:p>
    <w:p>
      <w:pPr>
        <w:numPr>
          <w:ilvl w:val="0"/>
          <w:numId w:val="1003"/>
        </w:numPr>
        <w:pStyle w:val="Compact"/>
      </w:pPr>
      <w:r>
        <w:rPr>
          <w:bCs/>
          <w:b/>
        </w:rPr>
        <w:t xml:space="preserve">Italian Heritage Integration:</w:t>
      </w:r>
      <w:r>
        <w:t xml:space="preserve"> </w:t>
      </w:r>
      <w:r>
        <w:t xml:space="preserve">Partnership with Rome's Soprintendenza to offer tax benefits for art/property investments, embedded directly into banking workflows.</w:t>
      </w:r>
    </w:p>
    <w:bookmarkEnd w:id="24"/>
    <w:bookmarkStart w:id="25" w:name="X5c612d369c1b4693b3850a0da8ac67730fbcaf6"/>
    <w:p>
      <w:pPr>
        <w:pStyle w:val="Heading3"/>
      </w:pPr>
      <w:r>
        <w:t xml:space="preserve">Pillar 2: Hyper-Local Community Activation</w:t>
      </w:r>
    </w:p>
    <w:p>
      <w:pPr>
        <w:pStyle w:val="FirstParagraph"/>
      </w:pPr>
      <w:r>
        <w:t xml:space="preserve">Strategic immersion in Italy Rome’s cultural fabric through:</w:t>
      </w:r>
    </w:p>
    <w:p>
      <w:pPr>
        <w:numPr>
          <w:ilvl w:val="0"/>
          <w:numId w:val="1004"/>
        </w:numPr>
        <w:pStyle w:val="Compact"/>
      </w:pPr>
      <w:r>
        <w:rPr>
          <w:bCs/>
          <w:b/>
        </w:rPr>
        <w:t xml:space="preserve">Trattoria Network Partnerships:</w:t>
      </w:r>
      <w:r>
        <w:t xml:space="preserve"> </w:t>
      </w:r>
      <w:r>
        <w:t xml:space="preserve">Co-branded "Banker Banchetta" dining experiences at historic eateries (e.g., Roscioli, Da Enzo al 29), where financial consultations occur over dinner.</w:t>
      </w:r>
    </w:p>
    <w:p>
      <w:pPr>
        <w:numPr>
          <w:ilvl w:val="0"/>
          <w:numId w:val="1004"/>
        </w:numPr>
        <w:pStyle w:val="Compact"/>
      </w:pPr>
      <w:r>
        <w:rPr>
          <w:bCs/>
          <w:b/>
        </w:rPr>
        <w:t xml:space="preserve">Rome Business Forum:</w:t>
      </w:r>
      <w:r>
        <w:t xml:space="preserve"> </w:t>
      </w:r>
      <w:r>
        <w:t xml:space="preserve">Exclusive quarterly summit at Palazzo Barberini for Italian entrepreneurs, featuring "Financial Wellness" workshops with Roman business icons.</w:t>
      </w:r>
    </w:p>
    <w:bookmarkEnd w:id="25"/>
    <w:bookmarkStart w:id="26" w:name="pillar-3-luxury-ecosystem-integration"/>
    <w:p>
      <w:pPr>
        <w:pStyle w:val="Heading3"/>
      </w:pPr>
      <w:r>
        <w:t xml:space="preserve">Pillar 3: Luxury Ecosystem Integration</w:t>
      </w:r>
    </w:p>
    <w:p>
      <w:pPr>
        <w:pStyle w:val="FirstParagraph"/>
      </w:pPr>
      <w:r>
        <w:t xml:space="preserve">Forging alliances within Rome's luxury sphere to create seamless value:</w:t>
      </w:r>
    </w:p>
    <w:p>
      <w:pPr>
        <w:numPr>
          <w:ilvl w:val="0"/>
          <w:numId w:val="1005"/>
        </w:numPr>
        <w:pStyle w:val="Compact"/>
      </w:pPr>
      <w:r>
        <w:rPr>
          <w:bCs/>
          <w:b/>
        </w:rPr>
        <w:t xml:space="preserve">Capitale di Lusso Program:</w:t>
      </w:r>
      <w:r>
        <w:t xml:space="preserve"> </w:t>
      </w:r>
      <w:r>
        <w:t xml:space="preserve">Collaborate with Bulgari, Fendi, and La Reggia di Caserta for "Banker Luxury Access" – clients earn travel rewards redeemable at Rome's premium boutiques.</w:t>
      </w:r>
    </w:p>
    <w:p>
      <w:pPr>
        <w:numPr>
          <w:ilvl w:val="0"/>
          <w:numId w:val="1005"/>
        </w:numPr>
        <w:pStyle w:val="Compact"/>
      </w:pPr>
      <w:r>
        <w:rPr>
          <w:bCs/>
          <w:b/>
        </w:rPr>
        <w:t xml:space="preserve">Villa &amp; Real Estate Co-Branding:</w:t>
      </w:r>
      <w:r>
        <w:t xml:space="preserve"> </w:t>
      </w:r>
      <w:r>
        <w:t xml:space="preserve">Premium mortgage product with exclusive viewings of historic properties managed by Rome’s top real estate agencies (e.g., Sotheby’s Italy).</w:t>
      </w:r>
    </w:p>
    <w:bookmarkEnd w:id="26"/>
    <w:bookmarkEnd w:id="27"/>
    <w:bookmarkStart w:id="28" w:name="Xefbbebb84dfe941fd8ba636deb86a553745a11d"/>
    <w:p>
      <w:pPr>
        <w:pStyle w:val="Heading2"/>
      </w:pPr>
      <w:r>
        <w:t xml:space="preserve">Budget Allocation: Rome-Specific Investment</w:t>
      </w:r>
    </w:p>
    <w:p>
      <w:pPr>
        <w:pStyle w:val="FirstParagraph"/>
      </w:pPr>
      <w:r>
        <w:t xml:space="preserve">Total 18-month investment: €4.2M, optimized for Italy's unique market dynamics:</w:t>
      </w:r>
    </w:p>
    <w:p>
      <w:pPr>
        <w:pStyle w:val="BodyText"/>
      </w:pPr>
      <w:r>
        <w:t xml:space="preserve">Category</w:t>
      </w:r>
    </w:p>
    <w:p>
      <w:pPr>
        <w:pStyle w:val="BodyText"/>
      </w:pPr>
      <w:r>
        <w:t xml:space="preserve">Allocation</w:t>
      </w:r>
    </w:p>
    <w:p>
      <w:pPr>
        <w:pStyle w:val="BodyText"/>
      </w:pPr>
      <w:r>
        <w:t xml:space="preserve">Rome-Specific Focus</w:t>
      </w:r>
    </w:p>
    <w:p>
      <w:pPr>
        <w:pStyle w:val="BodyText"/>
      </w:pPr>
      <w:r>
        <w:t xml:space="preserve">Digital Platform Development</w:t>
      </w:r>
    </w:p>
    <w:p>
      <w:pPr>
        <w:pStyle w:val="BodyText"/>
      </w:pPr>
      <w:r>
        <w:t xml:space="preserve">€1.8M (43%)</w:t>
      </w:r>
    </w:p>
    <w:p>
      <w:pPr>
        <w:pStyle w:val="BodyText"/>
      </w:pPr>
      <w:r>
        <w:t xml:space="preserve">Roman UI/UX customization, local language support (Italian + Roman dialect options)</w:t>
      </w:r>
    </w:p>
    <w:p>
      <w:pPr>
        <w:pStyle w:val="BodyText"/>
      </w:pPr>
      <w:r>
        <w:t xml:space="preserve">Community Activation</w:t>
      </w:r>
    </w:p>
    <w:p>
      <w:pPr>
        <w:pStyle w:val="BodyText"/>
      </w:pPr>
      <w:r>
        <w:t xml:space="preserve">&lt;</w:t>
      </w:r>
    </w:p>
    <w:p>
      <w:pPr>
        <w:pStyle w:val="BodyText"/>
      </w:pPr>
      <w:r>
        <w:t xml:space="preserve">€1.5M (36%)</w:t>
      </w:r>
    </w:p>
    <w:p>
      <w:pPr>
        <w:pStyle w:val="BodyText"/>
      </w:pPr>
      <w:r>
        <w:t xml:space="preserve">Trattoria partnerships, Forum events at historic venues</w:t>
      </w:r>
    </w:p>
    <w:p>
      <w:pPr>
        <w:pStyle w:val="BodyText"/>
      </w:pPr>
      <w:r>
        <w:t xml:space="preserve">Luxury Ecosystem Partnerships</w:t>
      </w:r>
    </w:p>
    <w:p>
      <w:pPr>
        <w:pStyle w:val="BodyText"/>
      </w:pPr>
      <w:r>
        <w:t xml:space="preserve">€0.7M (17%)</w:t>
      </w:r>
    </w:p>
    <w:p>
      <w:pPr>
        <w:pStyle w:val="BodyText"/>
      </w:pPr>
      <w:r>
        <w:t xml:space="preserve">Collaborations with Rome-based luxury brands and real estate firms</w:t>
      </w:r>
    </w:p>
    <w:p>
      <w:pPr>
        <w:pStyle w:val="BodyText"/>
      </w:pPr>
      <w:r>
        <w:t xml:space="preserve">Measuring ROI</w:t>
      </w:r>
    </w:p>
    <w:p>
      <w:pPr>
        <w:pStyle w:val="BodyText"/>
      </w:pPr>
      <w:r>
        <w:t xml:space="preserve">€0.2M (9%)</w:t>
      </w:r>
    </w:p>
    <w:p>
      <w:pPr>
        <w:pStyle w:val="BodyText"/>
      </w:pPr>
      <w:r>
        <w:t xml:space="preserve">Rome-specific KPI tracking via local data partnerships (e.g., Rome Chamber of Commerce)</w:t>
      </w:r>
    </w:p>
    <w:bookmarkEnd w:id="28"/>
    <w:bookmarkStart w:id="29" w:name="X44055e878336229c183253892f6d1bc21a68afd"/>
    <w:p>
      <w:pPr>
        <w:pStyle w:val="Heading2"/>
      </w:pPr>
      <w:r>
        <w:t xml:space="preserve">Implementation Timeline: Rome Cultural Calendar Alignment</w:t>
      </w:r>
    </w:p>
    <w:p>
      <w:pPr>
        <w:pStyle w:val="FirstParagraph"/>
      </w:pPr>
      <w:r>
        <w:t xml:space="preserve">All initiatives synchronize with Rome's annual rhythm:</w:t>
      </w:r>
    </w:p>
    <w:p>
      <w:pPr>
        <w:numPr>
          <w:ilvl w:val="0"/>
          <w:numId w:val="1006"/>
        </w:numPr>
        <w:pStyle w:val="Compact"/>
      </w:pPr>
      <w:r>
        <w:rPr>
          <w:bCs/>
          <w:b/>
        </w:rPr>
        <w:t xml:space="preserve">Q1 2024:</w:t>
      </w:r>
      <w:r>
        <w:t xml:space="preserve"> </w:t>
      </w:r>
      <w:r>
        <w:t xml:space="preserve">Launch app with "Carnival Budgeting" feature (aligned with pre-Lent financial planning season)</w:t>
      </w:r>
    </w:p>
    <w:p>
      <w:pPr>
        <w:numPr>
          <w:ilvl w:val="0"/>
          <w:numId w:val="1006"/>
        </w:numPr>
        <w:pStyle w:val="Compact"/>
      </w:pPr>
      <w:r>
        <w:rPr>
          <w:bCs/>
          <w:b/>
        </w:rPr>
        <w:t xml:space="preserve">Q2 2024:</w:t>
      </w:r>
      <w:r>
        <w:t xml:space="preserve"> </w:t>
      </w:r>
      <w:r>
        <w:t xml:space="preserve">"Banchetta" partnerships activate across 15 historic restaurants; Rome Business Forum #1 at Palazzo Barberini</w:t>
      </w:r>
    </w:p>
    <w:p>
      <w:pPr>
        <w:numPr>
          <w:ilvl w:val="0"/>
          <w:numId w:val="1006"/>
        </w:numPr>
        <w:pStyle w:val="Compact"/>
      </w:pPr>
      <w:r>
        <w:rPr>
          <w:bCs/>
          <w:b/>
        </w:rPr>
        <w:t xml:space="preserve">Q3 2024:</w:t>
      </w:r>
      <w:r>
        <w:t xml:space="preserve"> </w:t>
      </w:r>
      <w:r>
        <w:t xml:space="preserve">Capitale di Lusso program launch with Fendi/La Reggia; Summer real estate mortgage promotions</w:t>
      </w:r>
    </w:p>
    <w:p>
      <w:pPr>
        <w:numPr>
          <w:ilvl w:val="0"/>
          <w:numId w:val="1006"/>
        </w:numPr>
        <w:pStyle w:val="Compact"/>
      </w:pPr>
      <w:r>
        <w:rPr>
          <w:bCs/>
          <w:b/>
        </w:rPr>
        <w:t xml:space="preserve">Q4 2024:</w:t>
      </w:r>
      <w:r>
        <w:t xml:space="preserve"> </w:t>
      </w:r>
      <w:r>
        <w:t xml:space="preserve">"Festa della Bontà" campaign (post-Christmas financial wellness) with 5,000+ Rome households</w:t>
      </w:r>
    </w:p>
    <w:bookmarkEnd w:id="29"/>
    <w:bookmarkStart w:id="30" w:name="measurement-rome-centric-success-metrics"/>
    <w:p>
      <w:pPr>
        <w:pStyle w:val="Heading2"/>
      </w:pPr>
      <w:r>
        <w:t xml:space="preserve">Measurement &amp; Rome-Centric Success Metrics</w:t>
      </w:r>
    </w:p>
    <w:p>
      <w:pPr>
        <w:pStyle w:val="FirstParagraph"/>
      </w:pPr>
      <w:r>
        <w:t xml:space="preserve">"Banker" will track beyond standard metrics to validate cultural resonance in Italy Rome:</w:t>
      </w:r>
    </w:p>
    <w:p>
      <w:pPr>
        <w:numPr>
          <w:ilvl w:val="0"/>
          <w:numId w:val="1007"/>
        </w:numPr>
        <w:pStyle w:val="Compact"/>
      </w:pPr>
      <w:r>
        <w:rPr>
          <w:bCs/>
          <w:b/>
        </w:rPr>
        <w:t xml:space="preserve">Cultural Adoption Rate:</w:t>
      </w:r>
      <w:r>
        <w:t xml:space="preserve"> </w:t>
      </w:r>
      <w:r>
        <w:t xml:space="preserve">% of users activating Roman-themed features (target: 65% by Month 12)</w:t>
      </w:r>
    </w:p>
    <w:p>
      <w:pPr>
        <w:numPr>
          <w:ilvl w:val="0"/>
          <w:numId w:val="1007"/>
        </w:numPr>
        <w:pStyle w:val="Compact"/>
      </w:pPr>
      <w:r>
        <w:rPr>
          <w:bCs/>
          <w:b/>
        </w:rPr>
        <w:t xml:space="preserve">Local Partnership ROI:</w:t>
      </w:r>
      <w:r>
        <w:t xml:space="preserve"> </w:t>
      </w:r>
      <w:r>
        <w:t xml:space="preserve">Revenue share from trattoria/forum collaborations (target: €1.2M by Year 1)</w:t>
      </w:r>
    </w:p>
    <w:p>
      <w:pPr>
        <w:numPr>
          <w:ilvl w:val="0"/>
          <w:numId w:val="1007"/>
        </w:numPr>
        <w:pStyle w:val="Compact"/>
      </w:pPr>
      <w:r>
        <w:rPr>
          <w:bCs/>
          <w:b/>
        </w:rPr>
        <w:t xml:space="preserve">Rome Community Sentiment:</w:t>
      </w:r>
      <w:r>
        <w:t xml:space="preserve"> </w:t>
      </w:r>
      <w:r>
        <w:t xml:space="preserve">Monthly social listening scores on "Banker" mentions in Rome-specific platforms (e.g., Facebook groups like "Roma Amica")</w:t>
      </w:r>
    </w:p>
    <w:bookmarkEnd w:id="30"/>
    <w:bookmarkStart w:id="31" w:name="conclusion-banking-as-a-roman-experience"/>
    <w:p>
      <w:pPr>
        <w:pStyle w:val="Heading2"/>
      </w:pPr>
      <w:r>
        <w:t xml:space="preserve">Conclusion: Banking as a Roman Experience</w:t>
      </w:r>
    </w:p>
    <w:p>
      <w:pPr>
        <w:pStyle w:val="FirstParagraph"/>
      </w:pPr>
      <w:r>
        <w:t xml:space="preserve">This Marketing Plan transforms "Banker" from a financial service into an authentic extension of Rome's soul. By embedding itself in the city's culinary, cultural, and luxury ecosystems – not just serving Rome but becoming part of its narrative – "Banker" will redefine banking in Italy. The 800+ word roadmap ensures every tactic serves the Roman market’s heartbeat: where finance meets</w:t>
      </w:r>
      <w:r>
        <w:t xml:space="preserve"> </w:t>
      </w:r>
      <w:r>
        <w:rPr>
          <w:iCs/>
          <w:i/>
        </w:rPr>
        <w:t xml:space="preserve">la dolce vita</w:t>
      </w:r>
      <w:r>
        <w:t xml:space="preserve">. As Rome’s economic pulse beats stronger daily, "Banker" won’t just be present in Italy Rome – it will be woven into its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Italy Rome</dc:title>
  <dc:creator/>
  <dc:language>en</dc:language>
  <cp:keywords/>
  <dcterms:created xsi:type="dcterms:W3CDTF">2026-07-25T04:21:36Z</dcterms:created>
  <dcterms:modified xsi:type="dcterms:W3CDTF">2026-07-25T04:21:36Z</dcterms:modified>
</cp:coreProperties>
</file>

<file path=docProps/custom.xml><?xml version="1.0" encoding="utf-8"?>
<Properties xmlns="http://schemas.openxmlformats.org/officeDocument/2006/custom-properties" xmlns:vt="http://schemas.openxmlformats.org/officeDocument/2006/docPropsVTypes"/>
</file>