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Banker</w:t>
      </w:r>
      <w:r>
        <w:t xml:space="preserve"> </w:t>
      </w:r>
      <w:r>
        <w:t xml:space="preserve">in</w:t>
      </w:r>
      <w:r>
        <w:t xml:space="preserve"> </w:t>
      </w:r>
      <w:r>
        <w:t xml:space="preserve">Japan</w:t>
      </w:r>
      <w:r>
        <w:t xml:space="preserve"> </w:t>
      </w:r>
      <w:r>
        <w:t xml:space="preserve">Osaka</w:t>
      </w:r>
    </w:p>
    <w:bookmarkStart w:id="29" w:name="X366c3aa4237eae3f086c10d4207fbc4152a7264"/>
    <w:p>
      <w:pPr>
        <w:pStyle w:val="Heading1"/>
      </w:pPr>
      <w:r>
        <w:t xml:space="preserve">Comprehensive Marketing Plan: Banker Financial Services in Japan Osaka</w:t>
      </w:r>
    </w:p>
    <w:bookmarkStart w:id="20" w:name="executive-summary"/>
    <w:p>
      <w:pPr>
        <w:pStyle w:val="Heading2"/>
      </w:pPr>
      <w:r>
        <w:t xml:space="preserve">Executive Summary</w:t>
      </w:r>
    </w:p>
    <w:p>
      <w:pPr>
        <w:pStyle w:val="FirstParagraph"/>
      </w:pPr>
      <w:r>
        <w:t xml:space="preserve">This Marketing Plan details the strategic rollout of "Banker" – our premium digital banking platform – in Osaka, Japan. As a leading fintech solution designed for modern financial needs, Banker addresses critical gaps in Japan's traditional banking sector through AI-driven personalization, seamless mobile integration, and hyperlocal customer support. With Osaka's status as Japan's second-largest economic hub and its unique blend of corporate dynamism and cultural heritage, this plan outlines a targeted 18-month campaign to capture 15% market share among tech-savvy professionals by Q4 2025. The initiative leverages Osaka-specific insights to position Banker as the region's most trusted financial partner.</w:t>
      </w:r>
    </w:p>
    <w:bookmarkEnd w:id="20"/>
    <w:bookmarkStart w:id="21" w:name="market-analysis-japan-osaka-context"/>
    <w:p>
      <w:pPr>
        <w:pStyle w:val="Heading2"/>
      </w:pPr>
      <w:r>
        <w:t xml:space="preserve">Market Analysis: Japan Osaka Context</w:t>
      </w:r>
    </w:p>
    <w:p>
      <w:pPr>
        <w:pStyle w:val="FirstParagraph"/>
      </w:pPr>
      <w:r>
        <w:t xml:space="preserve">Osaka presents unparalleled opportunities for Banker due to its distinct market characteristics:</w:t>
      </w:r>
    </w:p>
    <w:p>
      <w:pPr>
        <w:numPr>
          <w:ilvl w:val="0"/>
          <w:numId w:val="1001"/>
        </w:numPr>
        <w:pStyle w:val="Compact"/>
      </w:pPr>
      <w:r>
        <w:rPr>
          <w:bCs/>
          <w:b/>
        </w:rPr>
        <w:t xml:space="preserve">Economic Significance:</w:t>
      </w:r>
      <w:r>
        <w:t xml:space="preserve"> </w:t>
      </w:r>
      <w:r>
        <w:t xml:space="preserve">Osaka contributes 15% of Japan's GDP, hosting 60% of the nation's wholesale trade and a concentration of SMEs requiring sophisticated cash flow management.</w:t>
      </w:r>
    </w:p>
    <w:p>
      <w:pPr>
        <w:numPr>
          <w:ilvl w:val="0"/>
          <w:numId w:val="1001"/>
        </w:numPr>
        <w:pStyle w:val="Compact"/>
      </w:pPr>
      <w:r>
        <w:rPr>
          <w:bCs/>
          <w:b/>
        </w:rPr>
        <w:t xml:space="preserve">Digital Adoption Gap:</w:t>
      </w:r>
      <w:r>
        <w:t xml:space="preserve"> </w:t>
      </w:r>
      <w:r>
        <w:t xml:space="preserve">While Japan leads in tech infrastructure, traditional banking penetration remains high (78%) with only 32% using digital-only services. Osaka's youth population (ages 25-44) shows 65% smartphone banking adoption – a key growth vector for Banker.</w:t>
      </w:r>
    </w:p>
    <w:p>
      <w:pPr>
        <w:numPr>
          <w:ilvl w:val="0"/>
          <w:numId w:val="1001"/>
        </w:numPr>
        <w:pStyle w:val="Compact"/>
      </w:pPr>
      <w:r>
        <w:rPr>
          <w:bCs/>
          <w:b/>
        </w:rPr>
        <w:t xml:space="preserve">Cultural Nuances:</w:t>
      </w:r>
      <w:r>
        <w:t xml:space="preserve"> </w:t>
      </w:r>
      <w:r>
        <w:t xml:space="preserve">Osaka residents value trust, efficiency, and local relevance ("Kansai charm"). Unlike Tokyo's formal banking culture, Osaka customers respond better to personalized, community-oriented engagement.</w:t>
      </w:r>
    </w:p>
    <w:bookmarkEnd w:id="21"/>
    <w:bookmarkStart w:id="22" w:name="target-audience-segmentation"/>
    <w:p>
      <w:pPr>
        <w:pStyle w:val="Heading2"/>
      </w:pPr>
      <w:r>
        <w:t xml:space="preserve">Target Audience Segmentation</w:t>
      </w:r>
    </w:p>
    <w:p>
      <w:pPr>
        <w:pStyle w:val="FirstParagraph"/>
      </w:pPr>
      <w:r>
        <w:t xml:space="preserve">We focus on three high-potential segments within Japan Osaka:</w:t>
      </w:r>
    </w:p>
    <w:p>
      <w:pPr>
        <w:numPr>
          <w:ilvl w:val="0"/>
          <w:numId w:val="1002"/>
        </w:numPr>
        <w:pStyle w:val="Compact"/>
      </w:pPr>
      <w:r>
        <w:rPr>
          <w:bCs/>
          <w:b/>
        </w:rPr>
        <w:t xml:space="preserve">Corporate SME Owners (45% of target):</w:t>
      </w:r>
      <w:r>
        <w:t xml:space="preserve"> </w:t>
      </w:r>
      <w:r>
        <w:t xml:space="preserve">3,800+ small businesses in Osaka's Namba and Umeda districts needing real-time FX management and low-cost business accounts. Banker’s AI-driven cash flow forecasting directly solves their pain points.</w:t>
      </w:r>
    </w:p>
    <w:p>
      <w:pPr>
        <w:numPr>
          <w:ilvl w:val="0"/>
          <w:numId w:val="1002"/>
        </w:numPr>
        <w:pStyle w:val="Compact"/>
      </w:pPr>
      <w:r>
        <w:rPr>
          <w:bCs/>
          <w:b/>
        </w:rPr>
        <w:t xml:space="preserve">Young Urban Professionals (35%):</w:t>
      </w:r>
      <w:r>
        <w:t xml:space="preserve"> </w:t>
      </w:r>
      <w:r>
        <w:t xml:space="preserve">25-40 year-olds in downtown Osaka seeking seamless mobile banking, fee-free international transactions (critical for travel/education), and integrated lifestyle features like point rewards at local Osaka merchants.</w:t>
      </w:r>
    </w:p>
    <w:p>
      <w:pPr>
        <w:numPr>
          <w:ilvl w:val="0"/>
          <w:numId w:val="1002"/>
        </w:numPr>
        <w:pStyle w:val="Compact"/>
      </w:pPr>
      <w:r>
        <w:rPr>
          <w:bCs/>
          <w:b/>
        </w:rPr>
        <w:t xml:space="preserve">Expatriate Community (20%):</w:t>
      </w:r>
      <w:r>
        <w:t xml:space="preserve"> </w:t>
      </w:r>
      <w:r>
        <w:t xml:space="preserve">18,000+ foreigners in Osaka requiring multi-currency accounts with Japanese language support – a gap unaddressed by legacy banks.</w:t>
      </w:r>
    </w:p>
    <w:bookmarkEnd w:id="22"/>
    <w:bookmarkStart w:id="23" w:name="marketing-objectives-18-month-horizon"/>
    <w:p>
      <w:pPr>
        <w:pStyle w:val="Heading2"/>
      </w:pPr>
      <w:r>
        <w:t xml:space="preserve">Marketing Objectives (18-Month Horizon)</w:t>
      </w:r>
    </w:p>
    <w:p>
      <w:pPr>
        <w:numPr>
          <w:ilvl w:val="0"/>
          <w:numId w:val="1003"/>
        </w:numPr>
        <w:pStyle w:val="Compact"/>
      </w:pPr>
      <w:r>
        <w:rPr>
          <w:bCs/>
          <w:b/>
        </w:rPr>
        <w:t xml:space="preserve">Brand Awareness:</w:t>
      </w:r>
      <w:r>
        <w:t xml:space="preserve"> </w:t>
      </w:r>
      <w:r>
        <w:t xml:space="preserve">Achieve 70% recognition among target segments in Osaka through localized campaigns by Month 12.</w:t>
      </w:r>
    </w:p>
    <w:p>
      <w:pPr>
        <w:numPr>
          <w:ilvl w:val="0"/>
          <w:numId w:val="1003"/>
        </w:numPr>
        <w:pStyle w:val="Compact"/>
      </w:pPr>
      <w:r>
        <w:rPr>
          <w:bCs/>
          <w:b/>
        </w:rPr>
        <w:t xml:space="preserve">User Acquisition:</w:t>
      </w:r>
      <w:r>
        <w:t xml:space="preserve"> </w:t>
      </w:r>
      <w:r>
        <w:t xml:space="preserve">Acquire 50,000 active Banker accounts in Osaka by Year 2 (15% of total target market).</w:t>
      </w:r>
    </w:p>
    <w:p>
      <w:pPr>
        <w:numPr>
          <w:ilvl w:val="0"/>
          <w:numId w:val="1003"/>
        </w:numPr>
        <w:pStyle w:val="Compact"/>
      </w:pPr>
      <w:r>
        <w:rPr>
          <w:bCs/>
          <w:b/>
        </w:rPr>
        <w:t xml:space="preserve">Customer Loyalty:</w:t>
      </w:r>
      <w:r>
        <w:t xml:space="preserve"> </w:t>
      </w:r>
      <w:r>
        <w:t xml:space="preserve">Achieve 85% retention rate through Osaka-specific engagement (e.g., festival partnerships, local rewards).</w:t>
      </w:r>
    </w:p>
    <w:bookmarkEnd w:id="23"/>
    <w:bookmarkStart w:id="24" w:name="core-marketing-strategies"/>
    <w:p>
      <w:pPr>
        <w:pStyle w:val="Heading2"/>
      </w:pPr>
      <w:r>
        <w:t xml:space="preserve">Core Marketing Strategies</w:t>
      </w:r>
    </w:p>
    <w:p>
      <w:pPr>
        <w:pStyle w:val="FirstParagraph"/>
      </w:pPr>
      <w:r>
        <w:rPr>
          <w:bCs/>
          <w:b/>
        </w:rPr>
        <w:t xml:space="preserve">I. Hyperlocal Brand Positioning</w:t>
      </w:r>
      <w:r>
        <w:br/>
      </w:r>
      <w:r>
        <w:t xml:space="preserve">Banker will position itself not as "another bank," but as Osaka’s financial partner:</w:t>
      </w:r>
      <w:r>
        <w:t xml:space="preserve"> </w:t>
      </w:r>
      <w:r>
        <w:t xml:space="preserve">- Tagline: "Banker: Your Financial Partner in Osaka" (not generic global messaging)</w:t>
      </w:r>
      <w:r>
        <w:t xml:space="preserve"> </w:t>
      </w:r>
      <w:r>
        <w:t xml:space="preserve">- Co-branding with Osaka landmarks (e.g., Kuromon Market, Dotonbori) for community identity</w:t>
      </w:r>
      <w:r>
        <w:t xml:space="preserve"> </w:t>
      </w:r>
      <w:r>
        <w:t xml:space="preserve">- Local language integration: Full Japanese support with Kansai dialect options in chatbots</w:t>
      </w:r>
    </w:p>
    <w:p>
      <w:pPr>
        <w:pStyle w:val="BodyText"/>
      </w:pPr>
      <w:r>
        <w:rPr>
          <w:bCs/>
          <w:b/>
        </w:rPr>
        <w:t xml:space="preserve">II. Digital-First Customer Acquisition</w:t>
      </w:r>
      <w:r>
        <w:br/>
      </w:r>
      <w:r>
        <w:t xml:space="preserve">Targeting Osaka’s digital natives:</w:t>
      </w:r>
      <w:r>
        <w:t xml:space="preserve"> </w:t>
      </w:r>
      <w:r>
        <w:t xml:space="preserve">- Geo-targeted social media ads on LINE (Japan's dominant platform) showcasing Osaka-specific use cases ("Send money to Kyoto for Gion Matsuri with 0% fee!")</w:t>
      </w:r>
      <w:r>
        <w:t xml:space="preserve"> </w:t>
      </w:r>
      <w:r>
        <w:t xml:space="preserve">- Collaborations with popular Osaka influencers (e.g., foodie bloggers, business coaches) for authentic testimonials</w:t>
      </w:r>
      <w:r>
        <w:t xml:space="preserve"> </w:t>
      </w:r>
      <w:r>
        <w:t xml:space="preserve">- App store optimization using keywords like "Osaka digital bank," "Kansai mobile banking"</w:t>
      </w:r>
    </w:p>
    <w:p>
      <w:pPr>
        <w:pStyle w:val="BodyText"/>
      </w:pPr>
      <w:r>
        <w:rPr>
          <w:bCs/>
          <w:b/>
        </w:rPr>
        <w:t xml:space="preserve">III. Physical Community Integration</w:t>
      </w:r>
      <w:r>
        <w:br/>
      </w:r>
      <w:r>
        <w:t xml:space="preserve">Bridging online and offline in Osaka:</w:t>
      </w:r>
      <w:r>
        <w:t xml:space="preserve"> </w:t>
      </w:r>
      <w:r>
        <w:t xml:space="preserve">- Pop-up kiosks at Osaka Station (1.2M daily foot traffic) offering instant account setup with free sushi vouchers</w:t>
      </w:r>
      <w:r>
        <w:t xml:space="preserve"> </w:t>
      </w:r>
      <w:r>
        <w:t xml:space="preserve">- Partnerships with 50+ Osaka-based SMEs (e.g., restaurants, co-working spaces) for exclusive Banker discounts</w:t>
      </w:r>
      <w:r>
        <w:t xml:space="preserve"> </w:t>
      </w:r>
      <w:r>
        <w:t xml:space="preserve">- Sponsorship of local events: "Osaka Financial Wellness Week" at Namba Yasaka Shrine</w:t>
      </w:r>
    </w:p>
    <w:p>
      <w:pPr>
        <w:pStyle w:val="BodyText"/>
      </w:pPr>
      <w:r>
        <w:rPr>
          <w:bCs/>
          <w:b/>
        </w:rPr>
        <w:t xml:space="preserve">IV. Cultural Adaptation Tactics</w:t>
      </w:r>
      <w:r>
        <w:br/>
      </w:r>
      <w:r>
        <w:t xml:space="preserve">Respecting Osaka’s unique business culture:</w:t>
      </w:r>
      <w:r>
        <w:t xml:space="preserve"> </w:t>
      </w:r>
      <w:r>
        <w:t xml:space="preserve">- Training all support staff in Kansai dialect etiquette (e.g., "O-ha-ya" greetings)</w:t>
      </w:r>
      <w:r>
        <w:t xml:space="preserve"> </w:t>
      </w:r>
      <w:r>
        <w:t xml:space="preserve">- Tailored financial products: "Osaka Business Bundle" for street-food vendors with flexible repayment during seasonal festivals</w:t>
      </w:r>
      <w:r>
        <w:t xml:space="preserve"> </w:t>
      </w:r>
      <w:r>
        <w:t xml:space="preserve">- Localized content: Monthly newsletter featuring Osaka business success stories (e.g., "How a Dotonbori restaurant scaled using Banker")</w:t>
      </w:r>
    </w:p>
    <w:bookmarkEnd w:id="24"/>
    <w:bookmarkStart w:id="25" w:name="budget-allocation-total-45.8m"/>
    <w:p>
      <w:pPr>
        <w:pStyle w:val="Heading2"/>
      </w:pPr>
      <w:r>
        <w:t xml:space="preserve">Budget Allocation (Total: ¥45.8M)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Osaka-Specific Focus</w:t>
            </w:r>
          </w:p>
        </w:tc>
      </w:tr>
      <w:tr>
        <w:tc>
          <w:tcPr/>
          <w:p>
            <w:pPr>
              <w:pStyle w:val="Compact"/>
              <w:jc w:val="left"/>
            </w:pPr>
            <w:r>
              <w:t xml:space="preserve">Digital Advertising (LINE, Instagram)</w:t>
            </w:r>
          </w:p>
        </w:tc>
        <w:tc>
          <w:tcPr/>
          <w:p>
            <w:pPr>
              <w:pStyle w:val="Compact"/>
              <w:jc w:val="left"/>
            </w:pPr>
            <w:r>
              <w:t xml:space="preserve">¥18.2M (40%)</w:t>
            </w:r>
          </w:p>
        </w:tc>
        <w:tc>
          <w:tcPr/>
          <w:p>
            <w:pPr>
              <w:pStyle w:val="Compact"/>
              <w:jc w:val="left"/>
            </w:pPr>
            <w:r>
              <w:t xml:space="preserve">Geo-fenced Osaka campaigns; Kansai dialect content</w:t>
            </w:r>
          </w:p>
        </w:tc>
      </w:tr>
      <w:tr>
        <w:tc>
          <w:tcPr/>
          <w:p>
            <w:pPr>
              <w:pStyle w:val="Compact"/>
              <w:jc w:val="left"/>
            </w:pPr>
            <w:r>
              <w:t xml:space="preserve">Community Partnerships</w:t>
            </w:r>
          </w:p>
        </w:tc>
        <w:tc>
          <w:tcPr/>
          <w:p>
            <w:pPr>
              <w:pStyle w:val="Compact"/>
              <w:jc w:val="left"/>
            </w:pPr>
            <w:r>
              <w:t xml:space="preserve">¥12.5M (27%)</w:t>
            </w:r>
          </w:p>
        </w:tc>
        <w:tc>
          <w:tcPr/>
          <w:p>
            <w:pPr>
              <w:pStyle w:val="Compact"/>
              <w:jc w:val="left"/>
            </w:pPr>
            <w:r>
              <w:t xml:space="preserve">Sponsorships of 10+ Osaka festivals/events</w:t>
            </w:r>
          </w:p>
        </w:tc>
      </w:tr>
      <w:tr>
        <w:tc>
          <w:tcPr/>
          <w:p>
            <w:pPr>
              <w:pStyle w:val="Compact"/>
              <w:jc w:val="left"/>
            </w:pPr>
            <w:r>
              <w:t xml:space="preserve">Localized Content Production</w:t>
            </w:r>
          </w:p>
        </w:tc>
        <w:tc>
          <w:tcPr/>
          <w:p>
            <w:pPr>
              <w:pStyle w:val="Compact"/>
              <w:jc w:val="left"/>
            </w:pPr>
            <w:r>
              <w:t xml:space="preserve">¥8.9M (19%)</w:t>
            </w:r>
          </w:p>
        </w:tc>
        <w:tc>
          <w:tcPr/>
          <w:p>
            <w:pPr>
              <w:pStyle w:val="Compact"/>
              <w:jc w:val="left"/>
            </w:pPr>
            <w:r>
              <w:t xml:space="preserve">Osaka-centric video testimonials, cultural guides</w:t>
            </w:r>
          </w:p>
        </w:tc>
      </w:tr>
      <w:tr>
        <w:tc>
          <w:tcPr/>
          <w:p>
            <w:pPr>
              <w:pStyle w:val="Compact"/>
              <w:jc w:val="left"/>
            </w:pPr>
            <w:r>
              <w:t xml:space="preserve">Physical Activation (Pop-ups)</w:t>
            </w:r>
          </w:p>
        </w:tc>
        <w:tc>
          <w:tcPr/>
          <w:p>
            <w:pPr>
              <w:pStyle w:val="Compact"/>
              <w:jc w:val="left"/>
            </w:pPr>
            <w:r>
              <w:t xml:space="preserve">¥6.2M (13%)</w:t>
            </w:r>
          </w:p>
        </w:tc>
        <w:tc>
          <w:tcPr/>
          <w:p>
            <w:pPr>
              <w:pStyle w:val="Compact"/>
              <w:jc w:val="left"/>
            </w:pPr>
            <w:r>
              <w:t xml:space="preserve">Osaka Station kiosks, SME collaboration booths</w:t>
            </w:r>
          </w:p>
        </w:tc>
      </w:tr>
    </w:tbl>
    <w:bookmarkEnd w:id="25"/>
    <w:bookmarkStart w:id="26" w:name="timeline-key-milestones"/>
    <w:p>
      <w:pPr>
        <w:pStyle w:val="Heading2"/>
      </w:pPr>
      <w:r>
        <w:t xml:space="preserve">Timeline &amp; Key Milestones</w:t>
      </w:r>
    </w:p>
    <w:p>
      <w:pPr>
        <w:pStyle w:val="FirstParagraph"/>
      </w:pPr>
      <w:r>
        <w:rPr>
          <w:bCs/>
          <w:b/>
        </w:rPr>
        <w:t xml:space="preserve">Months 1-3: Foundation Building</w:t>
      </w:r>
      <w:r>
        <w:br/>
      </w:r>
      <w:r>
        <w:t xml:space="preserve">- Secure Osaka-based regulatory approvals (FSA compliance)</w:t>
      </w:r>
      <w:r>
        <w:t xml:space="preserve"> </w:t>
      </w:r>
      <w:r>
        <w:t xml:space="preserve">- Launch "Osaka Community Advisory Board" with local business leaders</w:t>
      </w:r>
      <w:r>
        <w:t xml:space="preserve"> </w:t>
      </w:r>
      <w:r>
        <w:t xml:space="preserve">- Soft launch of LINE marketing channel targeting Osaka residents</w:t>
      </w:r>
    </w:p>
    <w:p>
      <w:pPr>
        <w:pStyle w:val="BodyText"/>
      </w:pPr>
      <w:r>
        <w:rPr>
          <w:bCs/>
          <w:b/>
        </w:rPr>
        <w:t xml:space="preserve">Months 4-9: Market Entry</w:t>
      </w:r>
      <w:r>
        <w:br/>
      </w:r>
      <w:r>
        <w:t xml:space="preserve">- Deploy 5 pop-up kiosks at Osaka Station and Umeda</w:t>
      </w:r>
      <w:r>
        <w:t xml:space="preserve"> </w:t>
      </w:r>
      <w:r>
        <w:t xml:space="preserve">- Release "Osaka Business Bundle" product for SMEs</w:t>
      </w:r>
      <w:r>
        <w:t xml:space="preserve"> </w:t>
      </w:r>
      <w:r>
        <w:t xml:space="preserve">- Partner with 20+ local merchants for Banker-exclusive discounts</w:t>
      </w:r>
    </w:p>
    <w:p>
      <w:pPr>
        <w:pStyle w:val="BodyText"/>
      </w:pPr>
      <w:r>
        <w:rPr>
          <w:bCs/>
          <w:b/>
        </w:rPr>
        <w:t xml:space="preserve">Months 10-18: Scale &amp; Retention</w:t>
      </w:r>
      <w:r>
        <w:br/>
      </w:r>
      <w:r>
        <w:t xml:space="preserve">- Expand to Osaka’s 37 industrial parks (e.g., Kansai Innovation City)</w:t>
      </w:r>
      <w:r>
        <w:t xml:space="preserve"> </w:t>
      </w:r>
      <w:r>
        <w:t xml:space="preserve">- Launch "Osaka Loyalty Circle" with tiered rewards for local spending</w:t>
      </w:r>
      <w:r>
        <w:t xml:space="preserve"> </w:t>
      </w:r>
      <w:r>
        <w:t xml:space="preserve">- Achieve target of 50,000 accounts via referral program ("Refer a business owner, get free Osaka restaurant credits")</w:t>
      </w:r>
    </w:p>
    <w:bookmarkEnd w:id="26"/>
    <w:bookmarkStart w:id="27" w:name="measurement-success-metrics"/>
    <w:p>
      <w:pPr>
        <w:pStyle w:val="Heading2"/>
      </w:pPr>
      <w:r>
        <w:t xml:space="preserve">Measurement &amp; Success Metrics</w:t>
      </w:r>
    </w:p>
    <w:p>
      <w:pPr>
        <w:pStyle w:val="FirstParagraph"/>
      </w:pPr>
      <w:r>
        <w:t xml:space="preserve">We will track KPIs through Osaka-specific analytics:</w:t>
      </w:r>
    </w:p>
    <w:p>
      <w:pPr>
        <w:numPr>
          <w:ilvl w:val="0"/>
          <w:numId w:val="1004"/>
        </w:numPr>
        <w:pStyle w:val="Compact"/>
      </w:pPr>
      <w:r>
        <w:rPr>
          <w:bCs/>
          <w:b/>
        </w:rPr>
        <w:t xml:space="preserve">Local Engagement Rate:</w:t>
      </w:r>
      <w:r>
        <w:t xml:space="preserve"> </w:t>
      </w:r>
      <w:r>
        <w:t xml:space="preserve">% of Osaka-based users interacting with Kansai-language content (Target: 45%+)</w:t>
      </w:r>
    </w:p>
    <w:p>
      <w:pPr>
        <w:numPr>
          <w:ilvl w:val="0"/>
          <w:numId w:val="1004"/>
        </w:numPr>
        <w:pStyle w:val="Compact"/>
      </w:pPr>
      <w:r>
        <w:rPr>
          <w:bCs/>
          <w:b/>
        </w:rPr>
        <w:t xml:space="preserve">SME Acquisition Cost:</w:t>
      </w:r>
      <w:r>
        <w:t xml:space="preserve"> </w:t>
      </w:r>
      <w:r>
        <w:t xml:space="preserve">Below ¥18,000 per business account (vs. industry average of ¥24,500)</w:t>
      </w:r>
    </w:p>
    <w:p>
      <w:pPr>
        <w:numPr>
          <w:ilvl w:val="0"/>
          <w:numId w:val="1004"/>
        </w:numPr>
        <w:pStyle w:val="Compact"/>
      </w:pPr>
      <w:r>
        <w:rPr>
          <w:bCs/>
          <w:b/>
        </w:rPr>
        <w:t xml:space="preserve">Community Sentiment:</w:t>
      </w:r>
      <w:r>
        <w:t xml:space="preserve"> </w:t>
      </w:r>
      <w:r>
        <w:t xml:space="preserve">Quarterly net promoter score (NPS) measured via Osaka-focused surveys</w:t>
      </w:r>
    </w:p>
    <w:bookmarkEnd w:id="27"/>
    <w:bookmarkStart w:id="28" w:name="conclusion-why-osaka-first"/>
    <w:p>
      <w:pPr>
        <w:pStyle w:val="Heading2"/>
      </w:pPr>
      <w:r>
        <w:t xml:space="preserve">Conclusion: Why Osaka First?</w:t>
      </w:r>
    </w:p>
    <w:p>
      <w:pPr>
        <w:pStyle w:val="FirstParagraph"/>
      </w:pPr>
      <w:r>
        <w:t xml:space="preserve">The Japan Osaka market presents the optimal launchpad for Banker due to its economic vibrancy, digital readiness, and cultural distinctiveness. By embedding Banker into Osaka’s fabric – from Dotonbori to corporate districts – we transcend being a financial service provider to becoming an integral part of the city’s economy. This Marketing Plan ensures every campaign leverages Osaka’s identity while delivering measurable growth. As Banker becomes synonymous with smart finance in Japan, Osaka will serve as our blueprint for nationwide expansion, proving that true banking innovation must be rooted in local context.</w:t>
      </w:r>
    </w:p>
    <w:p>
      <w:pPr>
        <w:pStyle w:val="BodyText"/>
      </w:pPr>
      <w:r>
        <w:rPr>
          <w:bCs/>
          <w:b/>
        </w:rPr>
        <w:t xml:space="preserve">Marketing Plan</w:t>
      </w:r>
      <w:r>
        <w:t xml:space="preserve"> </w:t>
      </w:r>
      <w:r>
        <w:t xml:space="preserve">is not just a document – it’s our roadmap to making</w:t>
      </w:r>
      <w:r>
        <w:t xml:space="preserve"> </w:t>
      </w:r>
      <w:r>
        <w:rPr>
          <w:bCs/>
          <w:b/>
        </w:rPr>
        <w:t xml:space="preserve">Banker</w:t>
      </w:r>
      <w:r>
        <w:t xml:space="preserve"> </w:t>
      </w:r>
      <w:r>
        <w:t xml:space="preserve">the heartbeat of financial life in</w:t>
      </w:r>
      <w:r>
        <w:t xml:space="preserve"> </w:t>
      </w:r>
      <w:r>
        <w:rPr>
          <w:bCs/>
          <w:b/>
        </w:rPr>
        <w:t xml:space="preserve">Japan Osaka</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Banker in Japan Osaka</dc:title>
  <dc:creator/>
  <dc:language>en</dc:language>
  <cp:keywords/>
  <dcterms:created xsi:type="dcterms:W3CDTF">2026-07-23T22:08:07Z</dcterms:created>
  <dcterms:modified xsi:type="dcterms:W3CDTF">2026-07-23T22:08:07Z</dcterms:modified>
</cp:coreProperties>
</file>

<file path=docProps/custom.xml><?xml version="1.0" encoding="utf-8"?>
<Properties xmlns="http://schemas.openxmlformats.org/officeDocument/2006/custom-properties" xmlns:vt="http://schemas.openxmlformats.org/officeDocument/2006/docPropsVTypes"/>
</file>