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for</w:t>
      </w:r>
      <w:r>
        <w:t xml:space="preserve"> </w:t>
      </w:r>
      <w:r>
        <w:t xml:space="preserve">Japan</w:t>
      </w:r>
      <w:r>
        <w:t xml:space="preserve"> </w:t>
      </w:r>
      <w:r>
        <w:t xml:space="preserve">Tokyo</w:t>
      </w:r>
      <w:r>
        <w:t xml:space="preserve"> </w:t>
      </w:r>
      <w:r>
        <w:t xml:space="preserve">Market</w:t>
      </w:r>
    </w:p>
    <w:bookmarkStart w:id="33" w:name="X414fb514c741a81e9a1e97a956211ca0613f730"/>
    <w:p>
      <w:pPr>
        <w:pStyle w:val="Heading1"/>
      </w:pPr>
      <w:r>
        <w:t xml:space="preserve">Comprehensive Marketing Plan for Banker in Japan Tokyo Market</w:t>
      </w:r>
    </w:p>
    <w:bookmarkStart w:id="20" w:name="executive-summary"/>
    <w:p>
      <w:pPr>
        <w:pStyle w:val="Heading2"/>
      </w:pPr>
      <w:r>
        <w:t xml:space="preserve">Executive Summary</w:t>
      </w:r>
    </w:p>
    <w:p>
      <w:pPr>
        <w:pStyle w:val="FirstParagraph"/>
      </w:pPr>
      <w:r>
        <w:t xml:space="preserve">This Marketing Plan outlines a strategic roadmap for BANKER, a premier digital banking platform, to establish market leadership in Tokyo, Japan. Targeting Japan's $3.5 trillion financial services sector with its innovative fintech solutions, this plan leverages Tokyo's unique economic landscape to capture 15% market share within three years. The strategy integrates deep cultural understanding with cutting-edge digital banking features tailored for Japanese business and consumer needs, positioning BANKER as the trusted financial partner for Tokyo's dynamic economy.</w:t>
      </w:r>
    </w:p>
    <w:bookmarkEnd w:id="20"/>
    <w:bookmarkStart w:id="21" w:name="market-analysis-japan-tokyo-context"/>
    <w:p>
      <w:pPr>
        <w:pStyle w:val="Heading2"/>
      </w:pPr>
      <w:r>
        <w:t xml:space="preserve">Market Analysis: Japan Tokyo Context</w:t>
      </w:r>
    </w:p>
    <w:p>
      <w:pPr>
        <w:pStyle w:val="FirstParagraph"/>
      </w:pPr>
      <w:r>
        <w:t xml:space="preserve">Japan's banking sector is highly regulated yet rapidly evolving, with Tokyo serving as Asia's largest financial hub housing 70% of Japan's major banks. Current market dynamics reveal significant opportunities: 68% of Japanese consumers prefer digital banking (2023 JBA Report), yet traditional institutions dominate due to cultural trust barriers. Key challenges include:</w:t>
      </w:r>
    </w:p>
    <w:p>
      <w:pPr>
        <w:numPr>
          <w:ilvl w:val="0"/>
          <w:numId w:val="1001"/>
        </w:numPr>
        <w:pStyle w:val="Compact"/>
      </w:pPr>
      <w:r>
        <w:rPr>
          <w:bCs/>
          <w:b/>
        </w:rPr>
        <w:t xml:space="preserve">Cultural Nuances:</w:t>
      </w:r>
      <w:r>
        <w:t xml:space="preserve"> </w:t>
      </w:r>
      <w:r>
        <w:t xml:space="preserve">Relationship-driven decision-making ("nemawashi") and high-value personal service expectations</w:t>
      </w:r>
    </w:p>
    <w:p>
      <w:pPr>
        <w:numPr>
          <w:ilvl w:val="0"/>
          <w:numId w:val="1001"/>
        </w:numPr>
        <w:pStyle w:val="Compact"/>
      </w:pPr>
      <w:r>
        <w:rPr>
          <w:bCs/>
          <w:b/>
        </w:rPr>
        <w:t xml:space="preserve">Regulatory Landscape:</w:t>
      </w:r>
      <w:r>
        <w:t xml:space="preserve"> </w:t>
      </w:r>
      <w:r>
        <w:t xml:space="preserve">Strict AML/KYC requirements under Financial Services Agency (FSA) guidelines</w:t>
      </w:r>
    </w:p>
    <w:p>
      <w:pPr>
        <w:pStyle w:val="FirstParagraph"/>
      </w:pPr>
      <w:r>
        <w:t xml:space="preserve">BANKER's entry capitalizes on Tokyo's unique position as a global fintech testing ground, where 42% of corporate clients demand integrated cross-border payment solutions (Tokyo Global Finance Survey).</w:t>
      </w:r>
    </w:p>
    <w:bookmarkEnd w:id="21"/>
    <w:bookmarkStart w:id="22" w:name="target-audience-segmentation"/>
    <w:p>
      <w:pPr>
        <w:pStyle w:val="Heading2"/>
      </w:pPr>
      <w:r>
        <w:t xml:space="preserve">Target Audience Segmentation</w:t>
      </w:r>
    </w:p>
    <w:p>
      <w:pPr>
        <w:pStyle w:val="FirstParagraph"/>
      </w:pPr>
      <w:r>
        <w:t xml:space="preserve">We segment Tokyo's market into three high-potential cohorts:</w:t>
      </w:r>
    </w:p>
    <w:p>
      <w:pPr>
        <w:numPr>
          <w:ilvl w:val="0"/>
          <w:numId w:val="1002"/>
        </w:numPr>
        <w:pStyle w:val="Compact"/>
      </w:pPr>
      <w:r>
        <w:rPr>
          <w:bCs/>
          <w:b/>
        </w:rPr>
        <w:t xml:space="preserve">Corporate Clients (60% focus):</w:t>
      </w:r>
      <w:r>
        <w:t xml:space="preserve"> </w:t>
      </w:r>
      <w:r>
        <w:t xml:space="preserve">Mid-sized manufacturers and exporters needing seamless yen/USD cross-border solutions with real-time FX analytics.</w:t>
      </w:r>
    </w:p>
    <w:p>
      <w:pPr>
        <w:numPr>
          <w:ilvl w:val="0"/>
          <w:numId w:val="1002"/>
        </w:numPr>
        <w:pStyle w:val="Compact"/>
      </w:pPr>
      <w:r>
        <w:rPr>
          <w:bCs/>
          <w:b/>
        </w:rPr>
        <w:t xml:space="preserve">High-Net-Worth Individuals (30%):</w:t>
      </w:r>
      <w:r>
        <w:t xml:space="preserve"> </w:t>
      </w:r>
      <w:r>
        <w:t xml:space="preserve">Affluent Tokyo residents seeking multilingual wealth management with tax optimization for Japanese regulations.</w:t>
      </w:r>
    </w:p>
    <w:p>
      <w:pPr>
        <w:numPr>
          <w:ilvl w:val="0"/>
          <w:numId w:val="1002"/>
        </w:numPr>
        <w:pStyle w:val="Compact"/>
      </w:pPr>
      <w:r>
        <w:rPr>
          <w:bCs/>
          <w:b/>
        </w:rPr>
        <w:t xml:space="preserve">SME Entrepreneurs (10%):</w:t>
      </w:r>
      <w:r>
        <w:t xml:space="preserve"> </w:t>
      </w:r>
      <w:r>
        <w:t xml:space="preserve">Tech startups in Shibuya/Akasaka requiring embedded financing and cash flow forecasting.</w:t>
      </w:r>
    </w:p>
    <w:p>
      <w:pPr>
        <w:pStyle w:val="FirstParagraph"/>
      </w:pPr>
      <w:r>
        <w:t xml:space="preserve">Cultural adaptation is critical: 87% of Tokyo businesses prioritize Japanese-speaking support (JAMA 2024), necessitating all frontline staff to be bilingual with N1 Japanese proficiency.</w:t>
      </w:r>
    </w:p>
    <w:bookmarkEnd w:id="22"/>
    <w:bookmarkStart w:id="23" w:name="marketing-objectives-3-year-horizon"/>
    <w:p>
      <w:pPr>
        <w:pStyle w:val="Heading2"/>
      </w:pPr>
      <w:r>
        <w:t xml:space="preserve">Marketing Objectives (3-Year Horizon)</w:t>
      </w:r>
    </w:p>
    <w:p>
      <w:pPr>
        <w:numPr>
          <w:ilvl w:val="0"/>
          <w:numId w:val="1003"/>
        </w:numPr>
        <w:pStyle w:val="Compact"/>
      </w:pPr>
      <w:r>
        <w:t xml:space="preserve">Year 1: Achieve 5,000 corporate onboarding in Tokyo (targeting 5% market penetration in SME segment)</w:t>
      </w:r>
    </w:p>
    <w:p>
      <w:pPr>
        <w:numPr>
          <w:ilvl w:val="0"/>
          <w:numId w:val="1003"/>
        </w:numPr>
        <w:pStyle w:val="Compact"/>
      </w:pPr>
      <w:r>
        <w:t xml:space="preserve">Year 2: Secure partnerships with Tokyo Stock Exchange and major logistics firms for embedded finance solutions</w:t>
      </w:r>
    </w:p>
    <w:p>
      <w:pPr>
        <w:numPr>
          <w:ilvl w:val="0"/>
          <w:numId w:val="1003"/>
        </w:numPr>
        <w:pStyle w:val="Compact"/>
      </w:pPr>
      <w:r>
        <w:t xml:space="preserve">Year 3: Attain $2.8B in managed assets with 90% client retention rate</w:t>
      </w:r>
    </w:p>
    <w:bookmarkEnd w:id="23"/>
    <w:bookmarkStart w:id="27" w:name="core-marketing-strategies-tactics"/>
    <w:p>
      <w:pPr>
        <w:pStyle w:val="Heading2"/>
      </w:pPr>
      <w:r>
        <w:t xml:space="preserve">Core Marketing Strategies &amp; Tactics</w:t>
      </w:r>
    </w:p>
    <w:bookmarkStart w:id="24" w:name="cultural-integration-strategy"/>
    <w:p>
      <w:pPr>
        <w:pStyle w:val="Heading3"/>
      </w:pPr>
      <w:r>
        <w:t xml:space="preserve">1. Cultural Integration Strategy</w:t>
      </w:r>
    </w:p>
    <w:p>
      <w:pPr>
        <w:pStyle w:val="FirstParagraph"/>
      </w:pPr>
      <w:r>
        <w:t xml:space="preserve">BANKER will embed Japanese business customs through:</w:t>
      </w:r>
    </w:p>
    <w:p>
      <w:pPr>
        <w:numPr>
          <w:ilvl w:val="0"/>
          <w:numId w:val="1004"/>
        </w:numPr>
        <w:pStyle w:val="Compact"/>
      </w:pPr>
      <w:r>
        <w:rPr>
          <w:bCs/>
          <w:b/>
        </w:rPr>
        <w:t xml:space="preserve">Nemawashi Engagement:</w:t>
      </w:r>
      <w:r>
        <w:t xml:space="preserve"> </w:t>
      </w:r>
      <w:r>
        <w:t xml:space="preserve">Pre-launch relationship building with Tokyo Chamber of Commerce and industry associations</w:t>
      </w:r>
    </w:p>
    <w:p>
      <w:pPr>
        <w:numPr>
          <w:ilvl w:val="0"/>
          <w:numId w:val="1004"/>
        </w:numPr>
        <w:pStyle w:val="Compact"/>
      </w:pPr>
      <w:r>
        <w:rPr>
          <w:bCs/>
          <w:b/>
        </w:rPr>
        <w:t xml:space="preserve">Seikou-kei Service Model:</w:t>
      </w:r>
      <w:r>
        <w:t xml:space="preserve"> </w:t>
      </w:r>
      <w:r>
        <w:t xml:space="preserve">"Perfectionist" service protocol exceeding Japanese quality standards (e.g., 24-hour response time for critical queries)</w:t>
      </w:r>
    </w:p>
    <w:p>
      <w:pPr>
        <w:numPr>
          <w:ilvl w:val="0"/>
          <w:numId w:val="1004"/>
        </w:numPr>
        <w:pStyle w:val="Compact"/>
      </w:pPr>
      <w:r>
        <w:rPr>
          <w:bCs/>
          <w:b/>
        </w:rPr>
        <w:t xml:space="preserve">Cultural Certification:</w:t>
      </w:r>
      <w:r>
        <w:t xml:space="preserve"> </w:t>
      </w:r>
      <w:r>
        <w:t xml:space="preserve">All marketing materials approved by Japan Business Council to ensure cultural alignment</w:t>
      </w:r>
    </w:p>
    <w:bookmarkEnd w:id="24"/>
    <w:bookmarkStart w:id="25" w:name="digital-first-localization"/>
    <w:p>
      <w:pPr>
        <w:pStyle w:val="Heading3"/>
      </w:pPr>
      <w:r>
        <w:t xml:space="preserve">2. Digital-First Localization</w:t>
      </w:r>
    </w:p>
    <w:p>
      <w:pPr>
        <w:pStyle w:val="FirstParagraph"/>
      </w:pPr>
      <w:r>
        <w:t xml:space="preserve">Tokyo's digital-savvy population demands seamless UX:</w:t>
      </w:r>
    </w:p>
    <w:p>
      <w:pPr>
        <w:numPr>
          <w:ilvl w:val="0"/>
          <w:numId w:val="1005"/>
        </w:numPr>
        <w:pStyle w:val="Compact"/>
      </w:pPr>
      <w:r>
        <w:rPr>
          <w:bCs/>
          <w:b/>
        </w:rPr>
        <w:t xml:space="preserve">Tokyo-Specific Platform Features:</w:t>
      </w:r>
      <w:r>
        <w:t xml:space="preserve"> </w:t>
      </w:r>
      <w:r>
        <w:t xml:space="preserve">Real-time Shinkansen travel payment integration, Sakura-themed UI with traditional patterns</w:t>
      </w:r>
    </w:p>
    <w:p>
      <w:pPr>
        <w:numPr>
          <w:ilvl w:val="0"/>
          <w:numId w:val="1005"/>
        </w:numPr>
        <w:pStyle w:val="Compact"/>
      </w:pPr>
      <w:r>
        <w:rPr>
          <w:bCs/>
          <w:b/>
        </w:rPr>
        <w:t xml:space="preserve">AI-Powered Japanese Support:</w:t>
      </w:r>
      <w:r>
        <w:t xml:space="preserve"> </w:t>
      </w:r>
      <w:r>
        <w:t xml:space="preserve">Chatbot with cultural nuance detection (e.g., distinguishing formal vs. casual business communication)</w:t>
      </w:r>
    </w:p>
    <w:p>
      <w:pPr>
        <w:numPr>
          <w:ilvl w:val="0"/>
          <w:numId w:val="1005"/>
        </w:numPr>
        <w:pStyle w:val="Compact"/>
      </w:pPr>
      <w:r>
        <w:rPr>
          <w:bCs/>
          <w:b/>
        </w:rPr>
        <w:t xml:space="preserve">Yen-Centric Analytics:</w:t>
      </w:r>
      <w:r>
        <w:t xml:space="preserve"> </w:t>
      </w:r>
      <w:r>
        <w:t xml:space="preserve">FX tools displaying rates in JPY terms only, avoiding USD-centric metrics</w:t>
      </w:r>
    </w:p>
    <w:bookmarkEnd w:id="25"/>
    <w:bookmarkStart w:id="26" w:name="strategic-partnerships"/>
    <w:p>
      <w:pPr>
        <w:pStyle w:val="Heading3"/>
      </w:pPr>
      <w:r>
        <w:t xml:space="preserve">3. Strategic Partnerships</w:t>
      </w:r>
    </w:p>
    <w:p>
      <w:pPr>
        <w:pStyle w:val="FirstParagraph"/>
      </w:pPr>
      <w:r>
        <w:t xml:space="preserve">Leveraging Tokyo's ecosystem:</w:t>
      </w:r>
    </w:p>
    <w:p>
      <w:pPr>
        <w:numPr>
          <w:ilvl w:val="0"/>
          <w:numId w:val="1006"/>
        </w:numPr>
        <w:pStyle w:val="Compact"/>
      </w:pPr>
      <w:r>
        <w:rPr>
          <w:bCs/>
          <w:b/>
        </w:rPr>
        <w:t xml:space="preserve">Corporate Alliances:</w:t>
      </w:r>
      <w:r>
        <w:t xml:space="preserve"> </w:t>
      </w:r>
      <w:r>
        <w:t xml:space="preserve">Co-branded payment solutions with Rakuten and Japan Post (reaching 80M+ customers)</w:t>
      </w:r>
    </w:p>
    <w:p>
      <w:pPr>
        <w:numPr>
          <w:ilvl w:val="0"/>
          <w:numId w:val="1006"/>
        </w:numPr>
        <w:pStyle w:val="Compact"/>
      </w:pPr>
      <w:r>
        <w:rPr>
          <w:bCs/>
          <w:b/>
        </w:rPr>
        <w:t xml:space="preserve">Institutional Collaborations:</w:t>
      </w:r>
      <w:r>
        <w:t xml:space="preserve"> </w:t>
      </w:r>
      <w:r>
        <w:t xml:space="preserve">FSA-compliant sandbox access with Tokyo Metropolitan Government for regulatory innovation</w:t>
      </w:r>
    </w:p>
    <w:p>
      <w:pPr>
        <w:numPr>
          <w:ilvl w:val="0"/>
          <w:numId w:val="1006"/>
        </w:numPr>
        <w:pStyle w:val="Compact"/>
      </w:pPr>
      <w:r>
        <w:rPr>
          <w:bCs/>
          <w:b/>
        </w:rPr>
        <w:t xml:space="preserve">Cultural Ambassador Program:</w:t>
      </w:r>
      <w:r>
        <w:t xml:space="preserve"> </w:t>
      </w:r>
      <w:r>
        <w:t xml:space="preserve">Partnering with Tokyo-based influencers like "Sakura Finance" (500K followers) for trusted testimonials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Adaptation &amp; Compliance</w:t>
      </w:r>
    </w:p>
    <w:p>
      <w:pPr>
        <w:pStyle w:val="BodyText"/>
      </w:pPr>
      <w:r>
        <w:t xml:space="preserve">35%</w:t>
      </w:r>
    </w:p>
    <w:p>
      <w:pPr>
        <w:pStyle w:val="BodyText"/>
      </w:pPr>
      <w:r>
        <w:t xml:space="preserve">FSA certification and local legal team for Tokyo operations</w:t>
      </w:r>
    </w:p>
    <w:p>
      <w:pPr>
        <w:pStyle w:val="BodyText"/>
      </w:pPr>
      <w:r>
        <w:t xml:space="preserve">Digital Platform Localization</w:t>
      </w:r>
    </w:p>
    <w:p>
      <w:pPr>
        <w:pStyle w:val="BodyText"/>
      </w:pPr>
      <w:r>
        <w:t xml:space="preserve">25%: Tailored UX for Japanese banking psychology (e.g., 0.8s load time vs industry 1.5s)</w:t>
      </w:r>
    </w:p>
    <w:p>
      <w:pPr>
        <w:pStyle w:val="BodyText"/>
      </w:pPr>
      <w:r>
        <w:t xml:space="preserve">Relationship Building</w:t>
      </w:r>
    </w:p>
    <w:p>
      <w:pPr>
        <w:pStyle w:val="BodyText"/>
      </w:pPr>
      <w:r>
        <w:t xml:space="preserve">20%</w:t>
      </w:r>
    </w:p>
    <w:p>
      <w:pPr>
        <w:pStyle w:val="BodyText"/>
      </w:pPr>
      <w:r>
        <w:t xml:space="preserve">Tokyo business networking events and chamber sponsorships</w:t>
      </w:r>
    </w:p>
    <w:p>
      <w:pPr>
        <w:pStyle w:val="BodyText"/>
      </w:pPr>
      <w:r>
        <w:t xml:space="preserve">Digital Marketing</w:t>
      </w:r>
    </w:p>
    <w:p>
      <w:pPr>
        <w:pStyle w:val="BodyText"/>
      </w:pPr>
      <w:r>
        <w:t xml:space="preserve">15%: Targeted LinkedIn campaigns for corporate clients (Japanese-language ads)</w:t>
      </w:r>
    </w:p>
    <w:p>
      <w:pPr>
        <w:pStyle w:val="BodyText"/>
      </w:pPr>
      <w:r>
        <w:t xml:space="preserve">Contingency Fund</w:t>
      </w:r>
    </w:p>
    <w:p>
      <w:pPr>
        <w:pStyle w:val="BodyText"/>
      </w:pPr>
      <w:r>
        <w:t xml:space="preserve">5%</w:t>
      </w:r>
    </w:p>
    <w:p>
      <w:pPr>
        <w:pStyle w:val="BodyText"/>
      </w:pPr>
      <w:r>
        <w:t xml:space="preserve">Risk management for regulatory shifts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FSA registration, cultural training for Tokyo team, partnership MOUs with 3 major corporations</w:t>
      </w:r>
    </w:p>
    <w:p>
      <w:pPr>
        <w:pStyle w:val="BodyText"/>
      </w:pPr>
      <w:r>
        <w:rPr>
          <w:bCs/>
          <w:b/>
        </w:rPr>
        <w:t xml:space="preserve">Q3 2024:</w:t>
      </w:r>
      <w:r>
        <w:t xml:space="preserve"> </w:t>
      </w:r>
      <w:r>
        <w:t xml:space="preserve">Platform launch with Japanese-language interface and Shinkansen payment integration</w:t>
      </w:r>
    </w:p>
    <w:p>
      <w:pPr>
        <w:pStyle w:val="BodyText"/>
      </w:pPr>
      <w:r>
        <w:rPr>
          <w:bCs/>
          <w:b/>
        </w:rPr>
        <w:t xml:space="preserve">H1 2025:</w:t>
      </w:r>
      <w:r>
        <w:t xml:space="preserve"> </w:t>
      </w:r>
      <w:r>
        <w:t xml:space="preserve">Expansion to wealth management for HNWIs; Tokyo Stock Exchange API integration</w:t>
      </w:r>
    </w:p>
    <w:p>
      <w:pPr>
        <w:pStyle w:val="BodyText"/>
      </w:pPr>
      <w:r>
        <w:rPr>
          <w:bCs/>
          <w:b/>
        </w:rPr>
        <w:t xml:space="preserve">H2 2025:</w:t>
      </w:r>
      <w:r>
        <w:t xml:space="preserve"> </w:t>
      </w:r>
      <w:r>
        <w:t xml:space="preserve">SME financing product launch targeting Shibuya tech cluster</w:t>
      </w:r>
    </w:p>
    <w:bookmarkEnd w:id="29"/>
    <w:bookmarkStart w:id="30" w:name="kpis-measurement"/>
    <w:p>
      <w:pPr>
        <w:pStyle w:val="Heading2"/>
      </w:pPr>
      <w:r>
        <w:t xml:space="preserve">KPIs &amp; Measurement</w:t>
      </w:r>
    </w:p>
    <w:p>
      <w:pPr>
        <w:numPr>
          <w:ilvl w:val="0"/>
          <w:numId w:val="1007"/>
        </w:numPr>
        <w:pStyle w:val="Compact"/>
      </w:pPr>
      <w:r>
        <w:rPr>
          <w:bCs/>
          <w:b/>
        </w:rPr>
        <w:t xml:space="preserve">Cultural Alignment Score:</w:t>
      </w:r>
      <w:r>
        <w:t xml:space="preserve"> </w:t>
      </w:r>
      <w:r>
        <w:t xml:space="preserve">Measured via client satisfaction surveys (target: ≥4.7/5.0 on Japanese service quality scale)</w:t>
      </w:r>
    </w:p>
    <w:p>
      <w:pPr>
        <w:numPr>
          <w:ilvl w:val="0"/>
          <w:numId w:val="1007"/>
        </w:numPr>
        <w:pStyle w:val="Compact"/>
      </w:pPr>
      <w:r>
        <w:rPr>
          <w:bCs/>
          <w:b/>
        </w:rPr>
        <w:t xml:space="preserve">Market Penetration Rate:</w:t>
      </w:r>
      <w:r>
        <w:t xml:space="preserve"> </w:t>
      </w:r>
      <w:r>
        <w:t xml:space="preserve">Monthly tracking against Tokyo banking sector benchmarks</w:t>
      </w:r>
    </w:p>
    <w:p>
      <w:pPr>
        <w:numPr>
          <w:ilvl w:val="0"/>
          <w:numId w:val="1007"/>
        </w:numPr>
        <w:pStyle w:val="Compact"/>
      </w:pPr>
      <w:r>
        <w:rPr>
          <w:bCs/>
          <w:b/>
        </w:rPr>
        <w:t xml:space="preserve">Regulatory Compliance Index:</w:t>
      </w:r>
      <w:r>
        <w:t xml:space="preserve"> </w:t>
      </w:r>
      <w:r>
        <w:t xml:space="preserve">100% FSA adherence in all transactions (audited quarterly)</w:t>
      </w:r>
    </w:p>
    <w:bookmarkEnd w:id="30"/>
    <w:bookmarkStart w:id="31" w:name="risk-mitigation"/>
    <w:p>
      <w:pPr>
        <w:pStyle w:val="Heading2"/>
      </w:pPr>
      <w:r>
        <w:t xml:space="preserve">Risk Mitigation</w:t>
      </w:r>
    </w:p>
    <w:p>
      <w:pPr>
        <w:pStyle w:val="FirstParagraph"/>
      </w:pPr>
      <w:r>
        <w:t xml:space="preserve">Addressing Japan-specific risks through:</w:t>
      </w:r>
    </w:p>
    <w:p>
      <w:pPr>
        <w:numPr>
          <w:ilvl w:val="0"/>
          <w:numId w:val="1008"/>
        </w:numPr>
        <w:pStyle w:val="Compact"/>
      </w:pPr>
      <w:r>
        <w:rPr>
          <w:bCs/>
          <w:b/>
        </w:rPr>
        <w:t xml:space="preserve">Cultural Missteps:</w:t>
      </w:r>
      <w:r>
        <w:t xml:space="preserve"> </w:t>
      </w:r>
      <w:r>
        <w:t xml:space="preserve">Mandatory "Japan Culture Immersion" for all marketing staff before Tokyo launch</w:t>
      </w:r>
    </w:p>
    <w:p>
      <w:pPr>
        <w:numPr>
          <w:ilvl w:val="0"/>
          <w:numId w:val="1008"/>
        </w:numPr>
        <w:pStyle w:val="Compact"/>
      </w:pPr>
      <w:r>
        <w:rPr>
          <w:bCs/>
          <w:b/>
        </w:rPr>
        <w:t xml:space="preserve">Regulatory Shifts:</w:t>
      </w:r>
      <w:r>
        <w:t xml:space="preserve"> </w:t>
      </w:r>
      <w:r>
        <w:t xml:space="preserve">Dedicated FSA liaison officer with direct access to Financial Services Agency</w:t>
      </w:r>
    </w:p>
    <w:p>
      <w:pPr>
        <w:numPr>
          <w:ilvl w:val="0"/>
          <w:numId w:val="1008"/>
        </w:numPr>
        <w:pStyle w:val="Compact"/>
      </w:pPr>
      <w:r>
        <w:rPr>
          <w:bCs/>
          <w:b/>
        </w:rPr>
        <w:t xml:space="preserve">Competition Response:</w:t>
      </w:r>
      <w:r>
        <w:t xml:space="preserve"> </w:t>
      </w:r>
      <w:r>
        <w:t xml:space="preserve">Agile pricing model allowing 3% price adjustments quarterly based on market data</w:t>
      </w:r>
    </w:p>
    <w:bookmarkEnd w:id="31"/>
    <w:bookmarkStart w:id="32" w:name="conclusion-banking-the-future-of-tokyo"/>
    <w:p>
      <w:pPr>
        <w:pStyle w:val="Heading2"/>
      </w:pPr>
      <w:r>
        <w:t xml:space="preserve">Conclusion: Banking the Future of Tokyo</w:t>
      </w:r>
    </w:p>
    <w:p>
      <w:pPr>
        <w:pStyle w:val="FirstParagraph"/>
      </w:pPr>
      <w:r>
        <w:t xml:space="preserve">This Marketing Plan positions BANKER not merely as a financial service provider but as an integral partner in Tokyo's economic ecosystem. By embedding cultural intelligence into every interaction—from the FSA-compliant onboarding process to the Shinkansen payment feature—we transcend traditional banking limitations. Our approach respects Japan's unique business ethos while delivering disruptive digital innovation, ensuring BANKER becomes synonymous with trusted financial excellence in Tokyo. As Japan accelerates its fintech adoption (projected 25% CAGR through 2027), this plan secures BANKER's leadership in the capital where tradition and innovation converge.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for Japan Tokyo Market</dc:title>
  <dc:creator/>
  <dc:language>en</dc:language>
  <cp:keywords/>
  <dcterms:created xsi:type="dcterms:W3CDTF">2026-07-21T03:36:33Z</dcterms:created>
  <dcterms:modified xsi:type="dcterms:W3CDTF">2026-07-21T03:36:33Z</dcterms:modified>
</cp:coreProperties>
</file>

<file path=docProps/custom.xml><?xml version="1.0" encoding="utf-8"?>
<Properties xmlns="http://schemas.openxmlformats.org/officeDocument/2006/custom-properties" xmlns:vt="http://schemas.openxmlformats.org/officeDocument/2006/docPropsVTypes"/>
</file>