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w:t>
      </w:r>
      <w:r>
        <w:t xml:space="preserve"> </w:t>
      </w:r>
      <w:r>
        <w:t xml:space="preserve">Amsterdam,</w:t>
      </w:r>
      <w:r>
        <w:t xml:space="preserve"> </w:t>
      </w:r>
      <w:r>
        <w:t xml:space="preserve">Netherlands</w:t>
      </w:r>
    </w:p>
    <w:bookmarkStart w:id="35" w:name="X80f0f107ca1da4510386b3667a980b2ec9488f9"/>
    <w:p>
      <w:pPr>
        <w:pStyle w:val="Heading1"/>
      </w:pPr>
      <w:r>
        <w:t xml:space="preserve">Comprehensive Marketing Plan for Banker: Targeting Amsterdam, Netherlands Market</w:t>
      </w:r>
    </w:p>
    <w:bookmarkStart w:id="20" w:name="executive-summary"/>
    <w:p>
      <w:pPr>
        <w:pStyle w:val="Heading2"/>
      </w:pPr>
      <w:r>
        <w:t xml:space="preserve">Executive Summary</w:t>
      </w:r>
    </w:p>
    <w:p>
      <w:pPr>
        <w:pStyle w:val="FirstParagraph"/>
      </w:pPr>
      <w:r>
        <w:t xml:space="preserve">This Marketing Plan outlines the strategic approach for</w:t>
      </w:r>
      <w:r>
        <w:t xml:space="preserve"> </w:t>
      </w:r>
      <w:r>
        <w:rPr>
          <w:bCs/>
          <w:b/>
        </w:rPr>
        <w:t xml:space="preserve">Banker</w:t>
      </w:r>
      <w:r>
        <w:t xml:space="preserve">, a next-generation digital banking platform, to establish market leadership in Amsterdam, Netherlands. The plan focuses on capturing 5% of Amsterdam's retail banking market within three years by leveraging hyper-localized digital strategies tailored to the unique financial landscape of the Netherlands. With Amsterdam as our primary launch hub – a global financial center with high digital adoption rates –</w:t>
      </w:r>
      <w:r>
        <w:t xml:space="preserve"> </w:t>
      </w:r>
      <w:r>
        <w:rPr>
          <w:bCs/>
          <w:b/>
        </w:rPr>
        <w:t xml:space="preserve">Banker</w:t>
      </w:r>
      <w:r>
        <w:t xml:space="preserve"> </w:t>
      </w:r>
      <w:r>
        <w:t xml:space="preserve">will differentiate through seamless integration with Dutch fiscal systems, multilingual support (Dutch/English), and community-centric engagement. This plan serves as the operational blueprint for our entry into the</w:t>
      </w:r>
      <w:r>
        <w:t xml:space="preserve"> </w:t>
      </w:r>
      <w:r>
        <w:rPr>
          <w:bCs/>
          <w:b/>
        </w:rPr>
        <w:t xml:space="preserve">Netherlands Amsterdam</w:t>
      </w:r>
      <w:r>
        <w:t xml:space="preserve"> </w:t>
      </w:r>
      <w:r>
        <w:t xml:space="preserve">market, targeting 50,000 active customers by Year 3.</w:t>
      </w:r>
    </w:p>
    <w:bookmarkEnd w:id="20"/>
    <w:bookmarkStart w:id="21" w:name="X6e0654cd27411d0ba3cd6ce5870ba56565324b5"/>
    <w:p>
      <w:pPr>
        <w:pStyle w:val="Heading2"/>
      </w:pPr>
      <w:r>
        <w:t xml:space="preserve">Situation Analysis: Netherlands Amsterdam Banking Landscape</w:t>
      </w:r>
    </w:p>
    <w:p>
      <w:pPr>
        <w:pStyle w:val="FirstParagraph"/>
      </w:pPr>
      <w:r>
        <w:t xml:space="preserve">The Dutch banking sector is highly mature but dominated by traditional institutions like ABN AMRO and ING. However, Amsterdam presents unique opportunities: a tech-savvy population (86% digital banking adoption), strong SME activity, and growing demand for personalized services. Key challenges include regulatory complexity under Dutch Financial Markets Authority (AFM) guidelines and customer loyalty to established banks. Our SWOT analysis reveals:</w:t>
      </w:r>
    </w:p>
    <w:p>
      <w:pPr>
        <w:numPr>
          <w:ilvl w:val="0"/>
          <w:numId w:val="1001"/>
        </w:numPr>
        <w:pStyle w:val="Compact"/>
      </w:pPr>
      <w:r>
        <w:rPr>
          <w:bCs/>
          <w:b/>
        </w:rPr>
        <w:t xml:space="preserve">Strengths:</w:t>
      </w:r>
      <w:r>
        <w:t xml:space="preserve"> </w:t>
      </w:r>
      <w:r>
        <w:t xml:space="preserve">AI-driven personalization, zero-fee structure for basic accounts, and seamless integration with Dutch tax system (Belastingdienst)</w:t>
      </w:r>
    </w:p>
    <w:p>
      <w:pPr>
        <w:numPr>
          <w:ilvl w:val="0"/>
          <w:numId w:val="1001"/>
        </w:numPr>
        <w:pStyle w:val="Compact"/>
      </w:pPr>
      <w:r>
        <w:rPr>
          <w:bCs/>
          <w:b/>
        </w:rPr>
        <w:t xml:space="preserve">Weaknesses:</w:t>
      </w:r>
      <w:r>
        <w:t xml:space="preserve"> </w:t>
      </w:r>
      <w:r>
        <w:t xml:space="preserve">New brand recognition; limited physical presence in Amsterdam</w:t>
      </w:r>
    </w:p>
    <w:p>
      <w:pPr>
        <w:numPr>
          <w:ilvl w:val="0"/>
          <w:numId w:val="1001"/>
        </w:numPr>
        <w:pStyle w:val="Compact"/>
      </w:pPr>
      <w:r>
        <w:rPr>
          <w:bCs/>
          <w:b/>
        </w:rPr>
        <w:t xml:space="preserve">Opportunities:</w:t>
      </w:r>
      <w:r>
        <w:t xml:space="preserve"> </w:t>
      </w:r>
      <w:r>
        <w:t xml:space="preserve">22% annual growth in digital-first banking users across Netherlands; untapped demand from expat communities in Amsterdam</w:t>
      </w:r>
    </w:p>
    <w:p>
      <w:pPr>
        <w:numPr>
          <w:ilvl w:val="0"/>
          <w:numId w:val="1001"/>
        </w:numPr>
        <w:pStyle w:val="Compact"/>
      </w:pPr>
      <w:r>
        <w:rPr>
          <w:bCs/>
          <w:b/>
        </w:rPr>
        <w:t xml:space="preserve">Threats:</w:t>
      </w:r>
      <w:r>
        <w:t xml:space="preserve"> </w:t>
      </w:r>
      <w:r>
        <w:t xml:space="preserve">Regulatory hurdles for fintechs; competition from existing neobanks (e.g., Bunq)</w:t>
      </w:r>
    </w:p>
    <w:bookmarkEnd w:id="21"/>
    <w:bookmarkStart w:id="22" w:name="marketing-objectives-3-year-horizon"/>
    <w:p>
      <w:pPr>
        <w:pStyle w:val="Heading2"/>
      </w:pPr>
      <w:r>
        <w:t xml:space="preserve">Marketing Objectives (3-Year Horizon)</w:t>
      </w:r>
    </w:p>
    <w:p>
      <w:pPr>
        <w:numPr>
          <w:ilvl w:val="0"/>
          <w:numId w:val="1002"/>
        </w:numPr>
        <w:pStyle w:val="Compact"/>
      </w:pPr>
      <w:r>
        <w:t xml:space="preserve">Achieve 5% market share in Amsterdam retail banking segment by Year 3</w:t>
      </w:r>
    </w:p>
    <w:p>
      <w:pPr>
        <w:numPr>
          <w:ilvl w:val="0"/>
          <w:numId w:val="1002"/>
        </w:numPr>
        <w:pStyle w:val="Compact"/>
      </w:pPr>
      <w:r>
        <w:t xml:space="preserve">Attain 90% customer satisfaction score (CSAT) through Dutch-language support</w:t>
      </w:r>
    </w:p>
    <w:p>
      <w:pPr>
        <w:numPr>
          <w:ilvl w:val="0"/>
          <w:numId w:val="1002"/>
        </w:numPr>
        <w:pStyle w:val="Compact"/>
      </w:pPr>
      <w:r>
        <w:t xml:space="preserve">Secure partnerships with 15+ Amsterdam-based SMEs for co-branded accounts</w:t>
      </w:r>
    </w:p>
    <w:p>
      <w:pPr>
        <w:numPr>
          <w:ilvl w:val="0"/>
          <w:numId w:val="1002"/>
        </w:numPr>
        <w:pStyle w:val="Compact"/>
      </w:pPr>
      <w:r>
        <w:t xml:space="preserve">Capture 30% of new expat banking customers in Amsterdam (25,000+ annual arrivals)</w:t>
      </w:r>
    </w:p>
    <w:bookmarkEnd w:id="22"/>
    <w:bookmarkStart w:id="26" w:name="Xf94fe828ce49b96904b48273c5b0fcef03847b7"/>
    <w:p>
      <w:pPr>
        <w:pStyle w:val="Heading2"/>
      </w:pPr>
      <w:r>
        <w:t xml:space="preserve">Target Audience: Amsterdam-Centric Segmentation</w:t>
      </w:r>
    </w:p>
    <w:p>
      <w:pPr>
        <w:pStyle w:val="FirstParagraph"/>
      </w:pPr>
      <w:r>
        <w:t xml:space="preserve">We define three core segments for our</w:t>
      </w:r>
      <w:r>
        <w:t xml:space="preserve"> </w:t>
      </w:r>
      <w:r>
        <w:rPr>
          <w:bCs/>
          <w:b/>
        </w:rPr>
        <w:t xml:space="preserve">Banker</w:t>
      </w:r>
      <w:r>
        <w:t xml:space="preserve"> </w:t>
      </w:r>
      <w:r>
        <w:t xml:space="preserve">marketing efforts in Netherlands Amsterdam:</w:t>
      </w:r>
    </w:p>
    <w:bookmarkStart w:id="23" w:name="Xa3e783a3c3624c635ab0e7053ecf01f2814a038"/>
    <w:p>
      <w:pPr>
        <w:pStyle w:val="Heading3"/>
      </w:pPr>
      <w:r>
        <w:t xml:space="preserve">1. Digital-First Young Professionals (Ages 25-35)</w:t>
      </w:r>
    </w:p>
    <w:p>
      <w:pPr>
        <w:pStyle w:val="FirstParagraph"/>
      </w:pPr>
      <w:r>
        <w:t xml:space="preserve">Amsterdam's 480,000 young professionals seeking mobile-only banking with integrated budgeting tools aligned to Dutch lifestyle. They prioritize sustainability (e.g., carbon-neutral transaction tracking) and community engagement.</w:t>
      </w:r>
    </w:p>
    <w:bookmarkEnd w:id="23"/>
    <w:bookmarkStart w:id="24" w:name="international-expats-newly-arrived"/>
    <w:p>
      <w:pPr>
        <w:pStyle w:val="Heading3"/>
      </w:pPr>
      <w:r>
        <w:t xml:space="preserve">2. International Expats (Newly Arrived)</w:t>
      </w:r>
    </w:p>
    <w:p>
      <w:pPr>
        <w:pStyle w:val="FirstParagraph"/>
      </w:pPr>
      <w:r>
        <w:t xml:space="preserve">55,000+ annual expats in Amsterdam needing hassle-free banking migration – including tax documentation support for Dutch regulations. Critical touchpoints: visa-linked account activation within 24 hours.</w:t>
      </w:r>
    </w:p>
    <w:bookmarkEnd w:id="24"/>
    <w:bookmarkStart w:id="25" w:name="amsterdam-based-micro-smes"/>
    <w:p>
      <w:pPr>
        <w:pStyle w:val="Heading3"/>
      </w:pPr>
      <w:r>
        <w:t xml:space="preserve">3. Amsterdam-Based Micro-SMEs</w:t>
      </w:r>
    </w:p>
    <w:p>
      <w:pPr>
        <w:pStyle w:val="FirstParagraph"/>
      </w:pPr>
      <w:r>
        <w:t xml:space="preserve">Over 15,000 micro-businesses requiring simplified invoicing with Dutch VAT (BTW) compliance and instant payment settlement for local markets like Jordaan or De Pijp.</w:t>
      </w:r>
    </w:p>
    <w:bookmarkEnd w:id="25"/>
    <w:bookmarkEnd w:id="26"/>
    <w:bookmarkStart w:id="31" w:name="X06f55fd6f141b05f76779a41baa6b48b6850d53"/>
    <w:p>
      <w:pPr>
        <w:pStyle w:val="Heading2"/>
      </w:pPr>
      <w:r>
        <w:t xml:space="preserve">Marketing Strategies: The "Banker" Approach in Netherlands Amsterdam</w:t>
      </w:r>
    </w:p>
    <w:bookmarkStart w:id="27" w:name="X78b386eb650e5c742cc9750e95c7da34fb91d07"/>
    <w:p>
      <w:pPr>
        <w:pStyle w:val="Heading3"/>
      </w:pPr>
      <w:r>
        <w:t xml:space="preserve">Product Strategy: Localized Digital Experience</w:t>
      </w:r>
    </w:p>
    <w:p>
      <w:pPr>
        <w:pStyle w:val="FirstParagraph"/>
      </w:pPr>
      <w:r>
        <w:rPr>
          <w:bCs/>
          <w:b/>
        </w:rPr>
        <w:t xml:space="preserve">Banker</w:t>
      </w:r>
      <w:r>
        <w:t xml:space="preserve">'s platform will feature:</w:t>
      </w:r>
    </w:p>
    <w:p>
      <w:pPr>
        <w:numPr>
          <w:ilvl w:val="0"/>
          <w:numId w:val="1003"/>
        </w:numPr>
        <w:pStyle w:val="Compact"/>
      </w:pPr>
      <w:r>
        <w:t xml:space="preserve">Dutch-language interface with regional dialect support (e.g., "Amsterdammer") for voice navigation</w:t>
      </w:r>
    </w:p>
    <w:p>
      <w:pPr>
        <w:numPr>
          <w:ilvl w:val="0"/>
          <w:numId w:val="1003"/>
        </w:numPr>
        <w:pStyle w:val="Compact"/>
      </w:pPr>
      <w:r>
        <w:t xml:space="preserve">Seamless integration with Dutch tax portal (Mijn Belastingdienst) for automatic expense categorization</w:t>
      </w:r>
    </w:p>
    <w:p>
      <w:pPr>
        <w:numPr>
          <w:ilvl w:val="0"/>
          <w:numId w:val="1003"/>
        </w:numPr>
        <w:pStyle w:val="Compact"/>
      </w:pPr>
      <w:r>
        <w:t xml:space="preserve">SME toolkit: BTW-compliant invoicing, local payment network (SEPA), and Amsterdam business license compliance checks</w:t>
      </w:r>
    </w:p>
    <w:bookmarkEnd w:id="27"/>
    <w:bookmarkStart w:id="28" w:name="Xa06c5a80e144382b9a552aa01ea45ff7fe7e4d1"/>
    <w:p>
      <w:pPr>
        <w:pStyle w:val="Heading3"/>
      </w:pPr>
      <w:r>
        <w:t xml:space="preserve">Pricing Strategy: Transparent &amp; Value-Driven</w:t>
      </w:r>
    </w:p>
    <w:p>
      <w:pPr>
        <w:pStyle w:val="FirstParagraph"/>
      </w:pPr>
      <w:r>
        <w:t xml:space="preserve">Zero fees for basic accounts (vs. average €5/month at competitors). Premium tier (£9.99/month) includes:</w:t>
      </w:r>
    </w:p>
    <w:p>
      <w:pPr>
        <w:numPr>
          <w:ilvl w:val="0"/>
          <w:numId w:val="1004"/>
        </w:numPr>
        <w:pStyle w:val="Compact"/>
      </w:pPr>
      <w:r>
        <w:t xml:space="preserve">Priority access to Amsterdam-based financial advisors</w:t>
      </w:r>
    </w:p>
    <w:p>
      <w:pPr>
        <w:numPr>
          <w:ilvl w:val="0"/>
          <w:numId w:val="1004"/>
        </w:numPr>
        <w:pStyle w:val="Compact"/>
      </w:pPr>
      <w:r>
        <w:t xml:space="preserve">Discounts at 100+ local Amsterdam merchants (e.g., De Bijenkorf, local cafes)</w:t>
      </w:r>
    </w:p>
    <w:p>
      <w:pPr>
        <w:numPr>
          <w:ilvl w:val="0"/>
          <w:numId w:val="1004"/>
        </w:numPr>
        <w:pStyle w:val="Compact"/>
      </w:pPr>
      <w:r>
        <w:t xml:space="preserve">Free annual sustainability report showing carbon impact of spending</w:t>
      </w:r>
    </w:p>
    <w:bookmarkEnd w:id="28"/>
    <w:bookmarkStart w:id="29" w:name="X5545505db1da8f3661b8a70104227638a3af605"/>
    <w:p>
      <w:pPr>
        <w:pStyle w:val="Heading3"/>
      </w:pPr>
      <w:r>
        <w:t xml:space="preserve">Place Strategy: Digital-First with Local Anchors</w:t>
      </w:r>
    </w:p>
    <w:p>
      <w:pPr>
        <w:pStyle w:val="FirstParagraph"/>
      </w:pPr>
      <w:r>
        <w:t xml:space="preserve">Rather than physical branches, we deploy strategic "Amsterdam Experience Hubs" in high-traffic zones:</w:t>
      </w:r>
    </w:p>
    <w:p>
      <w:pPr>
        <w:numPr>
          <w:ilvl w:val="0"/>
          <w:numId w:val="1005"/>
        </w:numPr>
        <w:pStyle w:val="Compact"/>
      </w:pPr>
      <w:r>
        <w:t xml:space="preserve">Pop-up kiosks at Amsterdam Centraal station (50M annual visitors)</w:t>
      </w:r>
    </w:p>
    <w:p>
      <w:pPr>
        <w:numPr>
          <w:ilvl w:val="0"/>
          <w:numId w:val="1005"/>
        </w:numPr>
        <w:pStyle w:val="Compact"/>
      </w:pPr>
      <w:r>
        <w:t xml:space="preserve">Collaborations with co-working spaces (WeWork, The HUB) for on-site support</w:t>
      </w:r>
    </w:p>
    <w:p>
      <w:pPr>
        <w:numPr>
          <w:ilvl w:val="0"/>
          <w:numId w:val="1005"/>
        </w:numPr>
        <w:pStyle w:val="Compact"/>
      </w:pPr>
      <w:r>
        <w:t xml:space="preserve">Dutch government partnership for "Banker: Your Netherlands Account" portal in all municipal service centers</w:t>
      </w:r>
    </w:p>
    <w:bookmarkEnd w:id="29"/>
    <w:bookmarkStart w:id="30" w:name="X7079a181537eb3af7fcc73e4b24ad754d6bab57"/>
    <w:p>
      <w:pPr>
        <w:pStyle w:val="Heading3"/>
      </w:pPr>
      <w:r>
        <w:t xml:space="preserve">Promotion Strategy: Hyper-Local Amsterdam Engagement</w:t>
      </w:r>
    </w:p>
    <w:p>
      <w:pPr>
        <w:pStyle w:val="FirstParagraph"/>
      </w:pPr>
      <w:r>
        <w:t xml:space="preserve">Our integrated campaign leverages Amsterdam's community identity:</w:t>
      </w:r>
    </w:p>
    <w:p>
      <w:pPr>
        <w:numPr>
          <w:ilvl w:val="0"/>
          <w:numId w:val="1006"/>
        </w:numPr>
        <w:pStyle w:val="Compact"/>
      </w:pPr>
      <w:r>
        <w:rPr>
          <w:bCs/>
          <w:b/>
        </w:rPr>
        <w:t xml:space="preserve">Amsterdam Ambassador Program:</w:t>
      </w:r>
      <w:r>
        <w:t xml:space="preserve"> </w:t>
      </w:r>
      <w:r>
        <w:t xml:space="preserve">Recruit 500 local influencers (e.g., @AmsterdamLife on Instagram) for authentic storytelling</w:t>
      </w:r>
    </w:p>
    <w:p>
      <w:pPr>
        <w:numPr>
          <w:ilvl w:val="0"/>
          <w:numId w:val="1006"/>
        </w:numPr>
        <w:pStyle w:val="Compact"/>
      </w:pPr>
      <w:r>
        <w:rPr>
          <w:bCs/>
          <w:b/>
        </w:rPr>
        <w:t xml:space="preserve">Dutch Heritage Partnerships:</w:t>
      </w:r>
      <w:r>
        <w:t xml:space="preserve"> </w:t>
      </w:r>
      <w:r>
        <w:t xml:space="preserve">Sponsor events like King's Day and Amsterdam Light Festival with "Banker" branded experiences</w:t>
      </w:r>
    </w:p>
    <w:p>
      <w:pPr>
        <w:numPr>
          <w:ilvl w:val="0"/>
          <w:numId w:val="1006"/>
        </w:numPr>
        <w:pStyle w:val="Compact"/>
      </w:pPr>
      <w:r>
        <w:rPr>
          <w:bCs/>
          <w:b/>
        </w:rPr>
        <w:t xml:space="preserve">Data-Driven Digital Campaigns:</w:t>
      </w:r>
      <w:r>
        <w:t xml:space="preserve"> </w:t>
      </w:r>
      <w:r>
        <w:t xml:space="preserve">Targeted Google/Facebook ads using Dutch postal codes (e.g., 1017, 1054) highlighting "Banker: Your Amsterdam Banking Partner"</w:t>
      </w:r>
    </w:p>
    <w:p>
      <w:pPr>
        <w:numPr>
          <w:ilvl w:val="0"/>
          <w:numId w:val="1006"/>
        </w:numPr>
        <w:pStyle w:val="Compact"/>
      </w:pPr>
      <w:r>
        <w:rPr>
          <w:bCs/>
          <w:b/>
        </w:rPr>
        <w:t xml:space="preserve">SME Community Hub:</w:t>
      </w:r>
      <w:r>
        <w:t xml:space="preserve"> </w:t>
      </w:r>
      <w:r>
        <w:t xml:space="preserve">Free monthly webinars on Dutch tax compliance hosted by Amsterdam Chamber of Commerce</w:t>
      </w:r>
    </w:p>
    <w:bookmarkEnd w:id="30"/>
    <w:bookmarkEnd w:id="31"/>
    <w:bookmarkStart w:id="32" w:name="action-plan-budget-allocation"/>
    <w:p>
      <w:pPr>
        <w:pStyle w:val="Heading2"/>
      </w:pPr>
      <w:r>
        <w:t xml:space="preserve">Action Plan &amp; Budget Allocation</w:t>
      </w:r>
    </w:p>
    <w:p>
      <w:pPr>
        <w:pStyle w:val="FirstParagraph"/>
      </w:pPr>
      <w:r>
        <w:t xml:space="preserve">Year 1 focus: Market entry and brand building. Total budget: €1.8M.</w:t>
      </w:r>
    </w:p>
    <w:p>
      <w:pPr>
        <w:pStyle w:val="BodyText"/>
      </w:pPr>
      <w:r>
        <w:t xml:space="preserve">Activity</w:t>
      </w:r>
    </w:p>
    <w:p>
      <w:pPr>
        <w:pStyle w:val="BodyText"/>
      </w:pPr>
      <w:r>
        <w:t xml:space="preserve">Timeline</w:t>
      </w:r>
    </w:p>
    <w:p>
      <w:pPr>
        <w:pStyle w:val="BodyText"/>
      </w:pPr>
      <w:r>
        <w:t xml:space="preserve">Budget (€)</w:t>
      </w:r>
    </w:p>
    <w:p>
      <w:pPr>
        <w:pStyle w:val="BodyText"/>
      </w:pPr>
      <w:r>
        <w:t xml:space="preserve">Dutch-language app localization</w:t>
      </w:r>
    </w:p>
    <w:p>
      <w:pPr>
        <w:pStyle w:val="BodyText"/>
      </w:pPr>
      <w:r>
        <w:t xml:space="preserve">Month 1-3</w:t>
      </w:r>
    </w:p>
    <w:p>
      <w:pPr>
        <w:pStyle w:val="BodyText"/>
      </w:pPr>
      <w:r>
        <w:t xml:space="preserve">400,000</w:t>
      </w:r>
    </w:p>
    <w:p>
      <w:pPr>
        <w:pStyle w:val="BodyText"/>
      </w:pPr>
      <w:r>
        <w:t xml:space="preserve">Ambassador program (500 influencers)</w:t>
      </w:r>
    </w:p>
    <w:p>
      <w:pPr>
        <w:pStyle w:val="BodyText"/>
      </w:pPr>
      <w:r>
        <w:t xml:space="preserve">Month 2-6</w:t>
      </w:r>
    </w:p>
    <w:p>
      <w:pPr>
        <w:pStyle w:val="BodyText"/>
      </w:pPr>
      <w:r>
        <w:t xml:space="preserve">Total Year 1 Budget:</w:t>
      </w:r>
    </w:p>
    <w:p>
      <w:pPr>
        <w:pStyle w:val="BodyText"/>
      </w:pPr>
      <w:r>
        <w:t xml:space="preserve">€1.8M</w:t>
      </w:r>
    </w:p>
    <w:bookmarkEnd w:id="32"/>
    <w:bookmarkStart w:id="33" w:name="X93d9f173dd6087a41dcf94ae508a7366b6753af"/>
    <w:p>
      <w:pPr>
        <w:pStyle w:val="Heading2"/>
      </w:pPr>
      <w:r>
        <w:t xml:space="preserve">Evaluation &amp; Control: Measuring Success in Netherlands Amsterdam</w:t>
      </w:r>
    </w:p>
    <w:p>
      <w:pPr>
        <w:pStyle w:val="FirstParagraph"/>
      </w:pPr>
      <w:r>
        <w:t xml:space="preserve">We track real-time metrics specific to our Amsterdam focus:</w:t>
      </w:r>
    </w:p>
    <w:p>
      <w:pPr>
        <w:numPr>
          <w:ilvl w:val="0"/>
          <w:numId w:val="1007"/>
        </w:numPr>
        <w:pStyle w:val="Compact"/>
      </w:pPr>
      <w:r>
        <w:rPr>
          <w:bCs/>
          <w:b/>
        </w:rPr>
        <w:t xml:space="preserve">Market Penetration Rate:</w:t>
      </w:r>
      <w:r>
        <w:t xml:space="preserve"> </w:t>
      </w:r>
      <w:r>
        <w:t xml:space="preserve">Monthly % of Amsterdam households using Banker (tracked via Dutch postal code analytics)</w:t>
      </w:r>
    </w:p>
    <w:p>
      <w:pPr>
        <w:numPr>
          <w:ilvl w:val="0"/>
          <w:numId w:val="1007"/>
        </w:numPr>
        <w:pStyle w:val="Compact"/>
      </w:pPr>
      <w:r>
        <w:rPr>
          <w:bCs/>
          <w:b/>
        </w:rPr>
        <w:t xml:space="preserve">Dutch Customer Satisfaction:</w:t>
      </w:r>
      <w:r>
        <w:t xml:space="preserve"> </w:t>
      </w:r>
      <w:r>
        <w:t xml:space="preserve">Quarterly CSAT surveys in Dutch, benchmarked against AFM standards</w:t>
      </w:r>
    </w:p>
    <w:p>
      <w:pPr>
        <w:numPr>
          <w:ilvl w:val="0"/>
          <w:numId w:val="1007"/>
        </w:numPr>
        <w:pStyle w:val="Compact"/>
      </w:pPr>
      <w:r>
        <w:rPr>
          <w:bCs/>
          <w:b/>
        </w:rPr>
        <w:t xml:space="preserve">SME Adoption Rate:</w:t>
      </w:r>
      <w:r>
        <w:t xml:space="preserve"> </w:t>
      </w:r>
      <w:r>
        <w:t xml:space="preserve">Number of Amsterdam businesses onboarding through Chamber of Commerce partnerships</w:t>
      </w:r>
    </w:p>
    <w:p>
      <w:pPr>
        <w:pStyle w:val="FirstParagraph"/>
      </w:pPr>
      <w:r>
        <w:t xml:space="preserve">A dedicated Amsterdam operations team (15 staff) will conduct bi-weekly performance reviews with local stakeholders including the Netherlands Banking Association. Monthly reports will measure against our 3-year objectives, with budget reallocation if KPIs deviate by &gt;10%.</w:t>
      </w:r>
    </w:p>
    <w:bookmarkEnd w:id="33"/>
    <w:bookmarkStart w:id="34" w:name="conclusion-bankers-amsterdam-imperative"/>
    <w:p>
      <w:pPr>
        <w:pStyle w:val="Heading2"/>
      </w:pPr>
      <w:r>
        <w:t xml:space="preserve">Conclusion: Banker's Amsterdam Imperative</w:t>
      </w:r>
    </w:p>
    <w:p>
      <w:pPr>
        <w:pStyle w:val="FirstParagraph"/>
      </w:pPr>
      <w:r>
        <w:t xml:space="preserve">This Marketing Plan positions</w:t>
      </w:r>
      <w:r>
        <w:t xml:space="preserve"> </w:t>
      </w:r>
      <w:r>
        <w:rPr>
          <w:bCs/>
          <w:b/>
        </w:rPr>
        <w:t xml:space="preserve">Banker</w:t>
      </w:r>
      <w:r>
        <w:t xml:space="preserve"> </w:t>
      </w:r>
      <w:r>
        <w:t xml:space="preserve">not just as a bank, but as an indispensable partner for life and business in the Netherlands Amsterdam ecosystem. By embedding our service within Dutch fiscal reality – from tax systems to local commerce – we transcend generic banking to become the digital backbone of Amsterdam's economy. The plan’s localized execution ensures every campaign, product feature, and partnership reinforces our commitment to serving Netherlands Amsterdam with unmatched cultural intelligence. As we launch in Q1 2024,</w:t>
      </w:r>
      <w:r>
        <w:t xml:space="preserve"> </w:t>
      </w:r>
      <w:r>
        <w:rPr>
          <w:bCs/>
          <w:b/>
        </w:rPr>
        <w:t xml:space="preserve">Banker</w:t>
      </w:r>
      <w:r>
        <w:t xml:space="preserve"> </w:t>
      </w:r>
      <w:r>
        <w:t xml:space="preserve">will be more than a brand; it will be synonymous with smart, local banking in one of Europe's most dynamic cities.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 Amsterdam, Netherlands</dc:title>
  <dc:creator/>
  <dc:language>en</dc:language>
  <cp:keywords/>
  <dcterms:created xsi:type="dcterms:W3CDTF">2026-07-23T12:29:39Z</dcterms:created>
  <dcterms:modified xsi:type="dcterms:W3CDTF">2026-07-23T12:29:39Z</dcterms:modified>
</cp:coreProperties>
</file>

<file path=docProps/custom.xml><?xml version="1.0" encoding="utf-8"?>
<Properties xmlns="http://schemas.openxmlformats.org/officeDocument/2006/custom-properties" xmlns:vt="http://schemas.openxmlformats.org/officeDocument/2006/docPropsVTypes"/>
</file>