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Banker</w:t>
      </w:r>
      <w:r>
        <w:t xml:space="preserve"> </w:t>
      </w:r>
      <w:r>
        <w:t xml:space="preserve">in</w:t>
      </w:r>
      <w:r>
        <w:t xml:space="preserve"> </w:t>
      </w:r>
      <w:r>
        <w:t xml:space="preserve">Lima,</w:t>
      </w:r>
      <w:r>
        <w:t xml:space="preserve"> </w:t>
      </w:r>
      <w:r>
        <w:t xml:space="preserve">Peru</w:t>
      </w:r>
    </w:p>
    <w:bookmarkStart w:id="33" w:name="Xf401a7ca5d3e34f8825451532253beb33bc6327"/>
    <w:p>
      <w:pPr>
        <w:pStyle w:val="Heading1"/>
      </w:pPr>
      <w:r>
        <w:t xml:space="preserve">Marketing Plan: The Banker's Strategic Entry into Lima, Peru Market</w:t>
      </w:r>
    </w:p>
    <w:bookmarkStart w:id="20" w:name="executive-summary"/>
    <w:p>
      <w:pPr>
        <w:pStyle w:val="Heading2"/>
      </w:pPr>
      <w:r>
        <w:t xml:space="preserve">Executive Summary</w:t>
      </w:r>
    </w:p>
    <w:p>
      <w:pPr>
        <w:pStyle w:val="FirstParagraph"/>
      </w:pPr>
      <w:r>
        <w:t xml:space="preserve">This comprehensive Marketing Plan outlines the strategic roadmap for "The Banker" to establish a dominant presence in the competitive financial landscape of Lima, Peru. Targeting Peru's economic hub with tailored solutions for SMEs and high-net-worth individuals, this plan leverages Lima's unique market dynamics to achieve 15% market share within three years. The Banker will differentiate through hyper-localized digital banking, community-centric services, and ethical finance models aligned with Peruvian cultural values. All initiatives are meticulously designed for the Peru Lima context, ensuring sustainable growth in one of Latin America's most promising financial markets.</w:t>
      </w:r>
    </w:p>
    <w:bookmarkEnd w:id="20"/>
    <w:bookmarkStart w:id="21" w:name="X04da497024cf901b44f0f06c517e49d8bbc7e56"/>
    <w:p>
      <w:pPr>
        <w:pStyle w:val="Heading2"/>
      </w:pPr>
      <w:r>
        <w:t xml:space="preserve">Situation Analysis: Peru Lima Market Context</w:t>
      </w:r>
    </w:p>
    <w:p>
      <w:pPr>
        <w:pStyle w:val="FirstParagraph"/>
      </w:pPr>
      <w:r>
        <w:t xml:space="preserve">Lima represents 45% of Peru's GDP and hosts 30 million residents, making it the nation's undisputed financial capital. However, traditional banking in Peru Lima faces critical gaps: only 38% of SMEs have formal credit access (World Bank, 2023), while digital banking penetration remains below 45% despite high smartphone adoption. Competitors like Banco de Crédito del Perú and Scotiabank dominate but lack personalized solutions for Peru's unique entrepreneurial ecosystem. The Banker enters with a clear understanding that Lima's success requires cultural nuance—addressing local pain points such as inflation volatility (12.9% in 2023), seasonal tourism impacts, and the need for ethical banking in communities like Miraflores and San Isidro.</w:t>
      </w:r>
    </w:p>
    <w:bookmarkEnd w:id="21"/>
    <w:bookmarkStart w:id="22" w:name="target-audience-segmentation"/>
    <w:p>
      <w:pPr>
        <w:pStyle w:val="Heading2"/>
      </w:pPr>
      <w:r>
        <w:t xml:space="preserve">Target Audience Segmentation</w:t>
      </w:r>
    </w:p>
    <w:p>
      <w:pPr>
        <w:pStyle w:val="FirstParagraph"/>
      </w:pPr>
      <w:r>
        <w:t xml:space="preserve">The Banker will focus on two high-value segments in Lima:</w:t>
      </w:r>
    </w:p>
    <w:p>
      <w:pPr>
        <w:numPr>
          <w:ilvl w:val="0"/>
          <w:numId w:val="1001"/>
        </w:numPr>
        <w:pStyle w:val="Compact"/>
      </w:pPr>
      <w:r>
        <w:rPr>
          <w:bCs/>
          <w:b/>
        </w:rPr>
        <w:t xml:space="preserve">SMEs (70% of target):</w:t>
      </w:r>
      <w:r>
        <w:t xml:space="preserve"> </w:t>
      </w:r>
      <w:r>
        <w:t xml:space="preserve">50-150 employee businesses in tourism, crafts, and agro-export sectors facing credit barriers. They require flexible loans tied to Lima's seasonal tourism cycles.</w:t>
      </w:r>
    </w:p>
    <w:p>
      <w:pPr>
        <w:numPr>
          <w:ilvl w:val="0"/>
          <w:numId w:val="1001"/>
        </w:numPr>
        <w:pStyle w:val="Compact"/>
      </w:pPr>
      <w:r>
        <w:rPr>
          <w:bCs/>
          <w:b/>
        </w:rPr>
        <w:t xml:space="preserve">High-Net-Worth Individuals (30% of target):</w:t>
      </w:r>
      <w:r>
        <w:t xml:space="preserve"> </w:t>
      </w:r>
      <w:r>
        <w:t xml:space="preserve">Peru Lima's affluent professionals seeking ESG-aligned investments. 68% prioritize ethical banking (Peru Central Bank Survey, 2023).</w:t>
      </w:r>
    </w:p>
    <w:p>
      <w:pPr>
        <w:pStyle w:val="FirstParagraph"/>
      </w:pPr>
      <w:r>
        <w:t xml:space="preserve">Cultural alignment is paramount—The Banker will integrate Peruvian symbols like the Andean condor in branding and offer services during traditional fiestas to build trust.</w:t>
      </w:r>
    </w:p>
    <w:bookmarkEnd w:id="22"/>
    <w:bookmarkStart w:id="23" w:name="marketing-objectives-year-1-3"/>
    <w:p>
      <w:pPr>
        <w:pStyle w:val="Heading2"/>
      </w:pPr>
      <w:r>
        <w:t xml:space="preserve">Marketing Objectives (Year 1-3)</w:t>
      </w:r>
    </w:p>
    <w:p>
      <w:pPr>
        <w:numPr>
          <w:ilvl w:val="0"/>
          <w:numId w:val="1002"/>
        </w:numPr>
        <w:pStyle w:val="Compact"/>
      </w:pPr>
      <w:r>
        <w:t xml:space="preserve">Acquire 15,000 active SME accounts in Lima within Year 1</w:t>
      </w:r>
    </w:p>
    <w:p>
      <w:pPr>
        <w:numPr>
          <w:ilvl w:val="0"/>
          <w:numId w:val="1002"/>
        </w:numPr>
        <w:pStyle w:val="Compact"/>
      </w:pPr>
      <w:r>
        <w:t xml:space="preserve">Achieve 85% brand recognition among Lima's business community by Year 2</w:t>
      </w:r>
    </w:p>
    <w:p>
      <w:pPr>
        <w:numPr>
          <w:ilvl w:val="0"/>
          <w:numId w:val="1002"/>
        </w:numPr>
        <w:pStyle w:val="Compact"/>
      </w:pPr>
      <w:r>
        <w:t xml:space="preserve">Attain $25M in digital transaction volume by Year 3 (70% from Peru Lima)</w:t>
      </w:r>
    </w:p>
    <w:p>
      <w:pPr>
        <w:numPr>
          <w:ilvl w:val="0"/>
          <w:numId w:val="1002"/>
        </w:numPr>
        <w:pStyle w:val="Compact"/>
      </w:pPr>
      <w:r>
        <w:t xml:space="preserve">Secure partnerships with key Lima institutions: Cámara de Comercio, Universidad de Lima</w:t>
      </w:r>
    </w:p>
    <w:bookmarkEnd w:id="23"/>
    <w:bookmarkStart w:id="28" w:name="X8bf4596b9d1f94c2f80e8508c6ce70166be07a5"/>
    <w:p>
      <w:pPr>
        <w:pStyle w:val="Heading2"/>
      </w:pPr>
      <w:r>
        <w:t xml:space="preserve">Marketing Strategies: The Banker's Unique Value Proposition</w:t>
      </w:r>
    </w:p>
    <w:bookmarkStart w:id="24" w:name="product-innovation-for-peru-lima"/>
    <w:p>
      <w:pPr>
        <w:pStyle w:val="Heading3"/>
      </w:pPr>
      <w:r>
        <w:t xml:space="preserve">Product Innovation for Peru Lima</w:t>
      </w:r>
    </w:p>
    <w:p>
      <w:pPr>
        <w:pStyle w:val="FirstParagraph"/>
      </w:pPr>
      <w:r>
        <w:t xml:space="preserve">The Banker launches "Lima Connect" suite exclusively for the Peruvian market:</w:t>
      </w:r>
    </w:p>
    <w:p>
      <w:pPr>
        <w:numPr>
          <w:ilvl w:val="0"/>
          <w:numId w:val="1003"/>
        </w:numPr>
        <w:pStyle w:val="Compact"/>
      </w:pPr>
      <w:r>
        <w:rPr>
          <w:iCs/>
          <w:i/>
        </w:rPr>
        <w:t xml:space="preserve">SME Flex-Loan:</w:t>
      </w:r>
      <w:r>
        <w:t xml:space="preserve"> </w:t>
      </w:r>
      <w:r>
        <w:t xml:space="preserve">Seasonal repayment aligned with Lima's peak tourism (June-October) and harvest cycles, using real-time data from Peru's INEI.</w:t>
      </w:r>
    </w:p>
    <w:p>
      <w:pPr>
        <w:numPr>
          <w:ilvl w:val="0"/>
          <w:numId w:val="1003"/>
        </w:numPr>
        <w:pStyle w:val="Compact"/>
      </w:pPr>
      <w:r>
        <w:rPr>
          <w:iCs/>
          <w:i/>
        </w:rPr>
        <w:t xml:space="preserve">Andean Ethical Account:</w:t>
      </w:r>
      <w:r>
        <w:t xml:space="preserve"> </w:t>
      </w:r>
      <w:r>
        <w:t xml:space="preserve">Zero fees for customers investing 10% of assets in certified Peruvian ESG projects (e.g., Amazon conservation).</w:t>
      </w:r>
    </w:p>
    <w:p>
      <w:pPr>
        <w:numPr>
          <w:ilvl w:val="0"/>
          <w:numId w:val="1003"/>
        </w:numPr>
        <w:pStyle w:val="Compact"/>
      </w:pPr>
      <w:r>
        <w:rPr>
          <w:iCs/>
          <w:i/>
        </w:rPr>
        <w:t xml:space="preserve">Digital Wallet "Pachamama":</w:t>
      </w:r>
      <w:r>
        <w:t xml:space="preserve"> </w:t>
      </w:r>
      <w:r>
        <w:t xml:space="preserve">Offline functionality for Lima's peripheral zones with limited internet, supporting cashless payments during local festivals.</w:t>
      </w:r>
    </w:p>
    <w:bookmarkEnd w:id="24"/>
    <w:bookmarkStart w:id="25" w:name="pricing-strategy"/>
    <w:p>
      <w:pPr>
        <w:pStyle w:val="Heading3"/>
      </w:pPr>
      <w:r>
        <w:t xml:space="preserve">Pricing Strategy</w:t>
      </w:r>
    </w:p>
    <w:p>
      <w:pPr>
        <w:pStyle w:val="FirstParagraph"/>
      </w:pPr>
      <w:r>
        <w:t xml:space="preserve">Competitive yet value-based pricing calibrated for Peru Lima's economy:</w:t>
      </w:r>
    </w:p>
    <w:p>
      <w:pPr>
        <w:numPr>
          <w:ilvl w:val="0"/>
          <w:numId w:val="1004"/>
        </w:numPr>
        <w:pStyle w:val="Compact"/>
      </w:pPr>
      <w:r>
        <w:t xml:space="preserve">SME Loans: 1.5% monthly interest (vs. 2.8% industry average)</w:t>
      </w:r>
    </w:p>
    <w:p>
      <w:pPr>
        <w:numPr>
          <w:ilvl w:val="0"/>
          <w:numId w:val="1004"/>
        </w:numPr>
        <w:pStyle w:val="Compact"/>
      </w:pPr>
      <w:r>
        <w:t xml:space="preserve">Zero account maintenance fees for the first year</w:t>
      </w:r>
    </w:p>
    <w:p>
      <w:pPr>
        <w:numPr>
          <w:ilvl w:val="0"/>
          <w:numId w:val="1004"/>
        </w:numPr>
        <w:pStyle w:val="Compact"/>
      </w:pPr>
      <w:r>
        <w:t xml:space="preserve">Discounted international remittances (30% below competitors) for Lima's large expat community</w:t>
      </w:r>
    </w:p>
    <w:bookmarkEnd w:id="25"/>
    <w:bookmarkStart w:id="26" w:name="Xa74dd00d1de92abeac3f2caea6c6f9545d3bc6e"/>
    <w:p>
      <w:pPr>
        <w:pStyle w:val="Heading3"/>
      </w:pPr>
      <w:r>
        <w:t xml:space="preserve">Distribution: Hyper-Local Presence in Lima</w:t>
      </w:r>
    </w:p>
    <w:p>
      <w:pPr>
        <w:pStyle w:val="FirstParagraph"/>
      </w:pPr>
      <w:r>
        <w:t xml:space="preserve">The Banker bypasses traditional branch-heavy models with a "Lima Micro-Hub" network:</w:t>
      </w:r>
    </w:p>
    <w:p>
      <w:pPr>
        <w:numPr>
          <w:ilvl w:val="0"/>
          <w:numId w:val="1005"/>
        </w:numPr>
        <w:pStyle w:val="Compact"/>
      </w:pPr>
      <w:r>
        <w:t xml:space="preserve">15 digital-only kiosks in high-traffic areas (Jockey Club, Miraflores Park)</w:t>
      </w:r>
    </w:p>
    <w:p>
      <w:pPr>
        <w:numPr>
          <w:ilvl w:val="0"/>
          <w:numId w:val="1005"/>
        </w:numPr>
        <w:pStyle w:val="Compact"/>
      </w:pPr>
      <w:r>
        <w:t xml:space="preserve">Mobile banking teams visiting SME clusters like Chorrillos and San Martín</w:t>
      </w:r>
    </w:p>
    <w:p>
      <w:pPr>
        <w:numPr>
          <w:ilvl w:val="0"/>
          <w:numId w:val="1005"/>
        </w:numPr>
        <w:pStyle w:val="Compact"/>
      </w:pPr>
      <w:r>
        <w:t xml:space="preserve">Strategic partnerships with Lima's 200+ local business associations for co-branded workshops</w:t>
      </w:r>
    </w:p>
    <w:bookmarkEnd w:id="26"/>
    <w:bookmarkStart w:id="27" w:name="promotion-culturally-resonant-campaigns"/>
    <w:p>
      <w:pPr>
        <w:pStyle w:val="Heading3"/>
      </w:pPr>
      <w:r>
        <w:t xml:space="preserve">Promotion: Culturally Resonant Campaigns</w:t>
      </w:r>
    </w:p>
    <w:p>
      <w:pPr>
        <w:pStyle w:val="FirstParagraph"/>
      </w:pPr>
      <w:r>
        <w:t xml:space="preserve">All campaigns integrate authentic Peru Lima storytelling:</w:t>
      </w:r>
    </w:p>
    <w:p>
      <w:pPr>
        <w:numPr>
          <w:ilvl w:val="0"/>
          <w:numId w:val="1006"/>
        </w:numPr>
        <w:pStyle w:val="Compact"/>
      </w:pPr>
      <w:r>
        <w:rPr>
          <w:iCs/>
          <w:i/>
        </w:rPr>
        <w:t xml:space="preserve">"Lima, We Build Together" Social Media Series:</w:t>
      </w:r>
      <w:r>
        <w:t xml:space="preserve"> </w:t>
      </w:r>
      <w:r>
        <w:t xml:space="preserve">Featuring real SME owners (e.g., a Cusco craft exporter operating from Lima) sharing success stories during local celebrations like "Fiesta de la Vendimia."</w:t>
      </w:r>
    </w:p>
    <w:p>
      <w:pPr>
        <w:numPr>
          <w:ilvl w:val="0"/>
          <w:numId w:val="1006"/>
        </w:numPr>
        <w:pStyle w:val="Compact"/>
      </w:pPr>
      <w:r>
        <w:rPr>
          <w:iCs/>
          <w:i/>
        </w:rPr>
        <w:t xml:space="preserve">Community Investment Program:</w:t>
      </w:r>
      <w:r>
        <w:t xml:space="preserve"> </w:t>
      </w:r>
      <w:r>
        <w:t xml:space="preserve">For every 10 new accounts, The Banker funds a local youth financial literacy program at Lima schools (partnering with Peru's Ministry of Education).</w:t>
      </w:r>
    </w:p>
    <w:p>
      <w:pPr>
        <w:numPr>
          <w:ilvl w:val="0"/>
          <w:numId w:val="1006"/>
        </w:numPr>
        <w:pStyle w:val="Compact"/>
      </w:pPr>
      <w:r>
        <w:rPr>
          <w:iCs/>
          <w:i/>
        </w:rPr>
        <w:t xml:space="preserve">Lima Cultural Sponsorships:</w:t>
      </w:r>
      <w:r>
        <w:t xml:space="preserve"> </w:t>
      </w:r>
      <w:r>
        <w:t xml:space="preserve">Title sponsor for "Lima Film Festival" and "Música de Lima" events to embed brand in cultural fabric.</w:t>
      </w:r>
    </w:p>
    <w:bookmarkEnd w:id="27"/>
    <w:bookmarkEnd w:id="28"/>
    <w:bookmarkStart w:id="29" w:name="budget-allocation-year-1-1.8m"/>
    <w:p>
      <w:pPr>
        <w:pStyle w:val="Heading2"/>
      </w:pPr>
      <w:r>
        <w:t xml:space="preserve">Budget Allocation (Year 1: $1.8M)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Peru Lima Focus</w:t>
            </w:r>
          </w:p>
        </w:tc>
      </w:tr>
      <w:tr>
        <w:tc>
          <w:tcPr/>
          <w:p>
            <w:pPr>
              <w:pStyle w:val="Compact"/>
              <w:jc w:val="left"/>
            </w:pPr>
            <w:r>
              <w:t xml:space="preserve">Digital Marketing (App, Social Ads)</w:t>
            </w:r>
          </w:p>
        </w:tc>
        <w:tc>
          <w:tcPr/>
          <w:p>
            <w:pPr>
              <w:pStyle w:val="Compact"/>
              <w:jc w:val="left"/>
            </w:pPr>
            <w:r>
              <w:t xml:space="preserve">$600,000</w:t>
            </w:r>
          </w:p>
        </w:tc>
        <w:tc>
          <w:tcPr/>
          <w:p>
            <w:pPr>
              <w:pStyle w:val="Compact"/>
              <w:jc w:val="left"/>
            </w:pPr>
            <w:r>
              <w:t xml:space="preserve">Tailored for Spanish-speaking Lima users; geo-targeting 15km radius of business districts</w:t>
            </w:r>
          </w:p>
        </w:tc>
      </w:tr>
      <w:tr>
        <w:tc>
          <w:tcPr/>
          <w:p>
            <w:pPr>
              <w:pStyle w:val="Compact"/>
              <w:jc w:val="left"/>
            </w:pPr>
            <w:r>
              <w:t xml:space="preserve">Community Programs &amp; Partnerships</w:t>
            </w:r>
          </w:p>
        </w:tc>
        <w:tc>
          <w:tcPr/>
          <w:p>
            <w:pPr>
              <w:pStyle w:val="Compact"/>
              <w:jc w:val="left"/>
            </w:pPr>
            <w:r>
              <w:t xml:space="preserve">$450,000</w:t>
            </w:r>
          </w:p>
        </w:tc>
        <w:tc>
          <w:tcPr/>
          <w:p>
            <w:pPr>
              <w:pStyle w:val="Compact"/>
              <w:jc w:val="left"/>
            </w:pPr>
            <w:r>
              <w:t xml:space="preserve">Local SME workshops in 3 major Lima districts (Lince, Surco, Magdalena)</w:t>
            </w:r>
          </w:p>
        </w:tc>
      </w:tr>
      <w:tr>
        <w:tc>
          <w:tcPr/>
          <w:p>
            <w:pPr>
              <w:pStyle w:val="Compact"/>
              <w:jc w:val="left"/>
            </w:pPr>
            <w:r>
              <w:t xml:space="preserve">Influencer Collaborations</w:t>
            </w:r>
          </w:p>
        </w:tc>
        <w:tc>
          <w:tcPr/>
          <w:p>
            <w:pPr>
              <w:pStyle w:val="Compact"/>
              <w:jc w:val="left"/>
            </w:pPr>
            <w:r>
              <w:t xml:space="preserve">$350,000</w:t>
            </w:r>
          </w:p>
        </w:tc>
        <w:tc>
          <w:tcPr/>
          <w:p>
            <w:pPr>
              <w:pStyle w:val="Compact"/>
              <w:jc w:val="left"/>
            </w:pPr>
            <w:r>
              <w:t xml:space="preserve">Peruvian business leaders and cultural figures (e.g., chef Gastón Acurio for SME segment)</w:t>
            </w:r>
          </w:p>
        </w:tc>
      </w:tr>
      <w:tr>
        <w:tc>
          <w:tcPr/>
          <w:p>
            <w:pPr>
              <w:pStyle w:val="Compact"/>
              <w:jc w:val="left"/>
            </w:pPr>
            <w:r>
              <w:t xml:space="preserve">Micro-Hub Setup &amp; Operations</w:t>
            </w:r>
          </w:p>
        </w:tc>
        <w:tc>
          <w:tcPr/>
          <w:p>
            <w:pPr>
              <w:pStyle w:val="Compact"/>
              <w:jc w:val="left"/>
            </w:pPr>
            <w:r>
              <w:t xml:space="preserve">$400,000</w:t>
            </w:r>
          </w:p>
        </w:tc>
        <w:tc>
          <w:tcPr/>
          <w:p>
            <w:pPr>
              <w:pStyle w:val="Compact"/>
              <w:jc w:val="left"/>
            </w:pPr>
            <w:r>
              <w:t xml:space="preserve">15 physical kiosks across high-traffic Lima zones with local staff recruitment</w:t>
            </w:r>
          </w:p>
        </w:tc>
      </w:tr>
    </w:tbl>
    <w:bookmarkEnd w:id="29"/>
    <w:bookmarkStart w:id="30" w:name="X75c2196e55dc4146a53fbefb218d59ca0cd833c"/>
    <w:p>
      <w:pPr>
        <w:pStyle w:val="Heading2"/>
      </w:pPr>
      <w:r>
        <w:t xml:space="preserve">Implementation Timeline (Peru Lima Specific)</w:t>
      </w:r>
    </w:p>
    <w:p>
      <w:pPr>
        <w:numPr>
          <w:ilvl w:val="0"/>
          <w:numId w:val="1007"/>
        </w:numPr>
        <w:pStyle w:val="Compact"/>
      </w:pPr>
      <w:r>
        <w:rPr>
          <w:bCs/>
          <w:b/>
        </w:rPr>
        <w:t xml:space="preserve">Months 1-3:</w:t>
      </w:r>
      <w:r>
        <w:t xml:space="preserve"> </w:t>
      </w:r>
      <w:r>
        <w:t xml:space="preserve">Finalize partnerships with Lima Chamber of Commerce; launch "Pachamama" mobile app for early access</w:t>
      </w:r>
    </w:p>
    <w:p>
      <w:pPr>
        <w:numPr>
          <w:ilvl w:val="0"/>
          <w:numId w:val="1007"/>
        </w:numPr>
        <w:pStyle w:val="Compact"/>
      </w:pPr>
      <w:r>
        <w:rPr>
          <w:bCs/>
          <w:b/>
        </w:rPr>
        <w:t xml:space="preserve">Months 4-6:</w:t>
      </w:r>
      <w:r>
        <w:t xml:space="preserve"> </w:t>
      </w:r>
      <w:r>
        <w:t xml:space="preserve">Deploy first wave of 5 micro-hubs in Miraflores/San Isidro; host inaugural SME financial literacy event during Lima's Independence Week (July)</w:t>
      </w:r>
    </w:p>
    <w:p>
      <w:pPr>
        <w:numPr>
          <w:ilvl w:val="0"/>
          <w:numId w:val="1007"/>
        </w:numPr>
        <w:pStyle w:val="Compact"/>
      </w:pPr>
      <w:r>
        <w:rPr>
          <w:bCs/>
          <w:b/>
        </w:rPr>
        <w:t xml:space="preserve">Months 7-9:</w:t>
      </w:r>
      <w:r>
        <w:t xml:space="preserve"> </w:t>
      </w:r>
      <w:r>
        <w:t xml:space="preserve">Scale to 12 hubs; initiate "Andean Ethical Account" promotion tied to Peru's National Savings Day (September)</w:t>
      </w:r>
    </w:p>
    <w:p>
      <w:pPr>
        <w:numPr>
          <w:ilvl w:val="0"/>
          <w:numId w:val="1007"/>
        </w:numPr>
        <w:pStyle w:val="Compact"/>
      </w:pPr>
      <w:r>
        <w:rPr>
          <w:bCs/>
          <w:b/>
        </w:rPr>
        <w:t xml:space="preserve">Months 10-12:</w:t>
      </w:r>
      <w:r>
        <w:t xml:space="preserve"> </w:t>
      </w:r>
      <w:r>
        <w:t xml:space="preserve">Achieve target SME acquisition; host year-end "Lima Growth Summit" with top business leaders</w:t>
      </w:r>
    </w:p>
    <w:bookmarkEnd w:id="30"/>
    <w:bookmarkStart w:id="31" w:name="evaluation-control-mechanisms"/>
    <w:p>
      <w:pPr>
        <w:pStyle w:val="Heading2"/>
      </w:pPr>
      <w:r>
        <w:t xml:space="preserve">Evaluation &amp; Control Mechanisms</w:t>
      </w:r>
    </w:p>
    <w:p>
      <w:pPr>
        <w:pStyle w:val="FirstParagraph"/>
      </w:pPr>
      <w:r>
        <w:t xml:space="preserve">The Banker will track Peru Lima-specific KPIs monthly through a dedicated dashboard:</w:t>
      </w:r>
    </w:p>
    <w:p>
      <w:pPr>
        <w:pStyle w:val="BodyText"/>
      </w:pPr>
      <w:r>
        <w:t xml:space="preserve">Customer Acquisition Cost (CAC) per Lima district (target: $85)</w:t>
      </w:r>
    </w:p>
    <w:p>
      <w:pPr>
        <w:pStyle w:val="BodyText"/>
      </w:pPr>
      <w:r>
        <w:t xml:space="preserve">Net Promoter Score (NPS) from Peruvian SME clients (target: 65+)</w:t>
      </w:r>
    </w:p>
    <w:p>
      <w:pPr>
        <w:pStyle w:val="BodyText"/>
      </w:pPr>
      <w:r>
        <w:t xml:space="preserve">Local partnership engagement rate with Lima institutions</w:t>
      </w:r>
    </w:p>
    <w:p>
      <w:pPr>
        <w:pStyle w:val="BodyText"/>
      </w:pPr>
      <w:r>
        <w:t xml:space="preserve">Bi-annual reviews will adjust strategies based on Peru's economic indicators—e.g., scaling tourism-linked products during high season (June-September) and shifting focus to agriculture during harvest periods.</w:t>
      </w:r>
    </w:p>
    <w:bookmarkEnd w:id="31"/>
    <w:bookmarkStart w:id="32" w:name="conclusion-the-bankers-peru-lima-promise"/>
    <w:p>
      <w:pPr>
        <w:pStyle w:val="Heading2"/>
      </w:pPr>
      <w:r>
        <w:t xml:space="preserve">Conclusion: The Banker's Peru Lima Promise</w:t>
      </w:r>
    </w:p>
    <w:p>
      <w:pPr>
        <w:pStyle w:val="FirstParagraph"/>
      </w:pPr>
      <w:r>
        <w:t xml:space="preserve">This Marketing Plan positions The Banker not merely as a financial institution, but as an indispensable partner for Lima's economic evolution. By embedding itself in the cultural and economic rhythm of Peru Lima—from Andean-inspired products to district-level micro-hubs—the bank will transform from "just another bank" to the trusted financial catalyst for Peruvian growth. Every initiative, from seasonal SME loans to community investments, is engineered for the unique pulse of Lima: where tradition meets innovation. The Banker doesn't just operate in Peru Lima—we become part of its 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Banker in Lima, Peru</dc:title>
  <dc:creator/>
  <dc:language>en</dc:language>
  <cp:keywords/>
  <dcterms:created xsi:type="dcterms:W3CDTF">2026-07-20T23:48:11Z</dcterms:created>
  <dcterms:modified xsi:type="dcterms:W3CDTF">2026-07-20T23:48:11Z</dcterms:modified>
</cp:coreProperties>
</file>

<file path=docProps/custom.xml><?xml version="1.0" encoding="utf-8"?>
<Properties xmlns="http://schemas.openxmlformats.org/officeDocument/2006/custom-properties" xmlns:vt="http://schemas.openxmlformats.org/officeDocument/2006/docPropsVTypes"/>
</file>