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Russia</w:t>
      </w:r>
      <w:r>
        <w:t xml:space="preserve"> </w:t>
      </w:r>
      <w:r>
        <w:t xml:space="preserve">Moscow</w:t>
      </w:r>
    </w:p>
    <w:bookmarkStart w:id="30" w:name="X2ac5e501f5444eaee46a32f601ca27611e4a601"/>
    <w:p>
      <w:pPr>
        <w:pStyle w:val="Heading1"/>
      </w:pPr>
      <w:r>
        <w:t xml:space="preserve">Strategic Marketing Plan: Positioning Banker as the Premier Digital Banking Partner in Russia Moscow</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"Banker" as the leading digital banking solution for individuals and businesses across Moscow, Russia. As a modern fintech-driven bank operating within the regulated framework of the Central Bank of Russia, this plan addresses the unique dynamics of Moscow's financial ecosystem while leveraging localized insights. The core objective is to capture 15% market share among digitally-savvy urban consumers in Moscow within three years through hyper-relevant digital engagement, culturally resonant messaging, and seamless integration with Russia's evolving financial infrastructure.</w:t>
      </w:r>
    </w:p>
    <w:bookmarkEnd w:id="20"/>
    <w:bookmarkStart w:id="21" w:name="market-analysis-russia-moscow-context"/>
    <w:p>
      <w:pPr>
        <w:pStyle w:val="Heading2"/>
      </w:pPr>
      <w:r>
        <w:t xml:space="preserve">Market Analysis: Russia Moscow Context</w:t>
      </w:r>
    </w:p>
    <w:p>
      <w:pPr>
        <w:pStyle w:val="FirstParagraph"/>
      </w:pPr>
      <w:r>
        <w:t xml:space="preserve">Moscow represents the undisputed financial hub of Russia, housing over 30% of the nation's banking assets and driving 50%+ of fintech innovation. However, traditional banks dominate with legacy systems, while digital-native competitors face intense scrutiny under current regulatory frameworks. Key challenges include high customer acquisition costs (averaging ₽12,000 per client for major players), low trust in new financial brands (only 48% of Moscow residents prefer non-traditional banks), and complex local compliance requirements. Crucially, 76% of Moscow's urban population uses smartphones for banking services – a critical opportunity for Banker's mobile-first platform.</w:t>
      </w:r>
    </w:p>
    <w:p>
      <w:pPr>
        <w:pStyle w:val="BodyText"/>
      </w:pPr>
      <w:r>
        <w:t xml:space="preserve">This plan directly addresses these gaps by positioning "Banker" not as another bank, but as the strategic financial partner for Moscow's dynamic economy. We recognize that success in Russia requires deep cultural alignment, which this Marketing Plan embeds at every level.</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Moscow:</w:t>
      </w:r>
    </w:p>
    <w:p>
      <w:pPr>
        <w:numPr>
          <w:ilvl w:val="0"/>
          <w:numId w:val="1001"/>
        </w:numPr>
        <w:pStyle w:val="Compact"/>
      </w:pPr>
      <w:r>
        <w:rPr>
          <w:bCs/>
          <w:b/>
        </w:rPr>
        <w:t xml:space="preserve">Young Urban Professionals (25-34):</w:t>
      </w:r>
      <w:r>
        <w:t xml:space="preserve"> </w:t>
      </w:r>
      <w:r>
        <w:t xml:space="preserve">Tech-savvy, value speed and digital experience over physical branches. Seek personalized investment tools integrated with lifestyle apps common in Russia Moscow.</w:t>
      </w:r>
    </w:p>
    <w:p>
      <w:pPr>
        <w:numPr>
          <w:ilvl w:val="0"/>
          <w:numId w:val="1001"/>
        </w:numPr>
        <w:pStyle w:val="Compact"/>
      </w:pPr>
      <w:r>
        <w:rPr>
          <w:bCs/>
          <w:b/>
        </w:rPr>
        <w:t xml:space="preserve">SME Owners (Moscow Metro Area):</w:t>
      </w:r>
      <w:r>
        <w:t xml:space="preserve"> </w:t>
      </w:r>
      <w:r>
        <w:t xml:space="preserve">Need efficient payroll, cross-border payments for Russia's export-driven market, and cash flow analytics. Prioritize security compliance with Russian tax regulations (Nalog 2.0).</w:t>
      </w:r>
    </w:p>
    <w:p>
      <w:pPr>
        <w:numPr>
          <w:ilvl w:val="0"/>
          <w:numId w:val="1001"/>
        </w:numPr>
        <w:pStyle w:val="Compact"/>
      </w:pPr>
      <w:r>
        <w:rPr>
          <w:bCs/>
          <w:b/>
        </w:rPr>
        <w:t xml:space="preserve">Russian Diaspora &amp; Expats:</w:t>
      </w:r>
      <w:r>
        <w:t xml:space="preserve"> </w:t>
      </w:r>
      <w:r>
        <w:t xml:space="preserve">Require seamless multi-currency accounts and international transaction capabilities – a significant underserved segment in Moscow's financial landscape.</w:t>
      </w:r>
    </w:p>
    <w:bookmarkEnd w:id="22"/>
    <w:bookmarkStart w:id="23" w:name="marketing-objectives"/>
    <w:p>
      <w:pPr>
        <w:pStyle w:val="Heading2"/>
      </w:pPr>
      <w:r>
        <w:t xml:space="preserve">Marketing Objectives</w:t>
      </w:r>
    </w:p>
    <w:p>
      <w:pPr>
        <w:numPr>
          <w:ilvl w:val="0"/>
          <w:numId w:val="1002"/>
        </w:numPr>
        <w:pStyle w:val="Compact"/>
      </w:pPr>
      <w:r>
        <w:t xml:space="preserve">Create 80% brand recognition among target segments in Moscow within 18 months.</w:t>
      </w:r>
    </w:p>
    <w:p>
      <w:pPr>
        <w:numPr>
          <w:ilvl w:val="0"/>
          <w:numId w:val="1002"/>
        </w:numPr>
        <w:pStyle w:val="Compact"/>
      </w:pPr>
      <w:r>
        <w:t xml:space="preserve">Generate 25% of new business via referral programs – leveraging Moscow's strong social networks.</w:t>
      </w:r>
    </w:p>
    <w:p>
      <w:pPr>
        <w:numPr>
          <w:ilvl w:val="0"/>
          <w:numId w:val="1002"/>
        </w:numPr>
        <w:pStyle w:val="Compact"/>
      </w:pPr>
      <w:r>
        <w:t xml:space="preserve">Secure 1,200 SME partnerships across Moscow by Q3 Year Two.</w:t>
      </w:r>
    </w:p>
    <w:bookmarkEnd w:id="23"/>
    <w:bookmarkStart w:id="24" w:name="X707ff7f0ba040a829d4a37c793a4a7313836105"/>
    <w:p>
      <w:pPr>
        <w:pStyle w:val="Heading2"/>
      </w:pPr>
      <w:r>
        <w:t xml:space="preserve">Strategic Positioning: The Banker Advantage in Russia</w:t>
      </w:r>
    </w:p>
    <w:p>
      <w:pPr>
        <w:pStyle w:val="FirstParagraph"/>
      </w:pPr>
      <w:r>
        <w:t xml:space="preserve">"Banker" is positioned not as a bank, but as the intelligent financial partner for Moscow's ambitious residents. We differentiate through:</w:t>
      </w:r>
    </w:p>
    <w:p>
      <w:pPr>
        <w:numPr>
          <w:ilvl w:val="0"/>
          <w:numId w:val="1003"/>
        </w:numPr>
        <w:pStyle w:val="Compact"/>
      </w:pPr>
      <w:r>
        <w:rPr>
          <w:bCs/>
          <w:b/>
        </w:rPr>
        <w:t xml:space="preserve">Cultural Intelligence:</w:t>
      </w:r>
      <w:r>
        <w:t xml:space="preserve"> </w:t>
      </w:r>
      <w:r>
        <w:t xml:space="preserve">All marketing content (including social media, ads) created with direct input from Russian cultural consultants and Moscow-based linguists to avoid missteps.</w:t>
      </w:r>
    </w:p>
    <w:p>
      <w:pPr>
        <w:numPr>
          <w:ilvl w:val="0"/>
          <w:numId w:val="1003"/>
        </w:numPr>
        <w:pStyle w:val="Compact"/>
      </w:pPr>
      <w:r>
        <w:rPr>
          <w:bCs/>
          <w:b/>
        </w:rPr>
        <w:t xml:space="preserve">Regulatory Trust:</w:t>
      </w:r>
      <w:r>
        <w:t xml:space="preserve"> </w:t>
      </w:r>
      <w:r>
        <w:t xml:space="preserve">Full compliance with Central Bank of Russia's requirements – emphasized in all communications as a core value for Russian customers.</w:t>
      </w:r>
    </w:p>
    <w:p>
      <w:pPr>
        <w:numPr>
          <w:ilvl w:val="0"/>
          <w:numId w:val="1003"/>
        </w:numPr>
        <w:pStyle w:val="Compact"/>
      </w:pPr>
      <w:r>
        <w:rPr>
          <w:bCs/>
          <w:b/>
        </w:rPr>
        <w:t xml:space="preserve">Moscow-Centric Features:</w:t>
      </w:r>
      <w:r>
        <w:t xml:space="preserve"> </w:t>
      </w:r>
      <w:r>
        <w:t xml:space="preserve">Real-time integration with Moscow's public transport apps (e.g., Moscow City), local event ticketing, and tax filing tools aligned with Russian regulations.</w:t>
      </w:r>
    </w:p>
    <w:bookmarkEnd w:id="24"/>
    <w:bookmarkStart w:id="25" w:name="tactical-marketing-mix"/>
    <w:p>
      <w:pPr>
        <w:pStyle w:val="Heading2"/>
      </w:pPr>
      <w:r>
        <w:t xml:space="preserve">Tactical Marketing Mix</w:t>
      </w:r>
    </w:p>
    <w:p>
      <w:pPr>
        <w:pStyle w:val="FirstParagraph"/>
      </w:pPr>
      <w:r>
        <w:rPr>
          <w:bCs/>
          <w:b/>
        </w:rPr>
        <w:t xml:space="preserve">Product:</w:t>
      </w:r>
      <w:r>
        <w:t xml:space="preserve"> </w:t>
      </w:r>
      <w:r>
        <w:t xml:space="preserve">The Banker mobile app is designed specifically for Russia Moscow. Features include: instant RUB/USD/RUB conversions at real market rates (critical for Moscow's import/export businesses), integration with Yandex.Money (Russia's dominant e-wallet), and a dedicated "Moscow Business Hub" section offering location-based services.</w:t>
      </w:r>
    </w:p>
    <w:p>
      <w:pPr>
        <w:pStyle w:val="BodyText"/>
      </w:pPr>
      <w:r>
        <w:rPr>
          <w:bCs/>
          <w:b/>
        </w:rPr>
        <w:t xml:space="preserve">Pricing:</w:t>
      </w:r>
      <w:r>
        <w:t xml:space="preserve"> </w:t>
      </w:r>
      <w:r>
        <w:t xml:space="preserve">Competitive fee structure: Zero account maintenance fees for Moscow residents, low international transfer rates (1.5% vs industry average 3.8%), free basic SME tools – all transparent with no hidden charges under Russian Consumer Protection Law.</w:t>
      </w:r>
    </w:p>
    <w:p>
      <w:pPr>
        <w:pStyle w:val="BodyText"/>
      </w:pPr>
      <w:r>
        <w:rPr>
          <w:bCs/>
          <w:b/>
        </w:rPr>
        <w:t xml:space="preserve">Place:</w:t>
      </w:r>
      <w:r>
        <w:t xml:space="preserve"> </w:t>
      </w:r>
      <w:r>
        <w:t xml:space="preserve">Exclusively digital – no physical branches required to serve the Moscow market efficiently. However, we partner with key Moscow locations (e.g., co-working spaces like Mosaic Hub, popular cafes near central districts) for in-person onboarding events.</w:t>
      </w:r>
    </w:p>
    <w:p>
      <w:pPr>
        <w:pStyle w:val="BodyText"/>
      </w:pPr>
      <w:r>
        <w:rPr>
          <w:bCs/>
          <w:b/>
        </w:rPr>
        <w:t xml:space="preserve">Promotion:</w:t>
      </w:r>
    </w:p>
    <w:p>
      <w:pPr>
        <w:numPr>
          <w:ilvl w:val="0"/>
          <w:numId w:val="1004"/>
        </w:numPr>
        <w:pStyle w:val="Compact"/>
      </w:pPr>
      <w:r>
        <w:rPr>
          <w:iCs/>
          <w:i/>
        </w:rPr>
        <w:t xml:space="preserve">Digital-First Campaigns:</w:t>
      </w:r>
      <w:r>
        <w:t xml:space="preserve"> </w:t>
      </w:r>
      <w:r>
        <w:t xml:space="preserve">Geo-targeted Instagram &amp; Telegram ads (Russia's top platforms) using Moscow-specific influencers (e.g., finance educators like @MoscowFinance). Campaign tagline: "Banker: Your Money, Moscow Smart." All content in Russian with local humor and references.</w:t>
      </w:r>
    </w:p>
    <w:p>
      <w:pPr>
        <w:numPr>
          <w:ilvl w:val="0"/>
          <w:numId w:val="1004"/>
        </w:numPr>
        <w:pStyle w:val="Compact"/>
      </w:pPr>
      <w:r>
        <w:rPr>
          <w:iCs/>
          <w:i/>
        </w:rPr>
        <w:t xml:space="preserve">SME Engagement:</w:t>
      </w:r>
      <w:r>
        <w:t xml:space="preserve"> </w:t>
      </w:r>
      <w:r>
        <w:t xml:space="preserve">Strategic partnerships with Moscow Chamber of Commerce and key industrial zones. Free financial workshops at business parks across Moscow.</w:t>
      </w:r>
    </w:p>
    <w:p>
      <w:pPr>
        <w:numPr>
          <w:ilvl w:val="0"/>
          <w:numId w:val="1004"/>
        </w:numPr>
        <w:pStyle w:val="Compact"/>
      </w:pPr>
      <w:r>
        <w:rPr>
          <w:iCs/>
          <w:i/>
        </w:rPr>
        <w:t xml:space="preserve">Community Building:</w:t>
      </w:r>
      <w:r>
        <w:t xml:space="preserve"> </w:t>
      </w:r>
      <w:r>
        <w:t xml:space="preserve">Launching the "Banker Moscow Circle" – an exclusive Telegram group for premium users offering insights on Russian market trends, tax updates, and networking events in Russia's capital.</w:t>
      </w:r>
    </w:p>
    <w:bookmarkEnd w:id="25"/>
    <w:bookmarkStart w:id="26" w:name="measurement-optimization"/>
    <w:p>
      <w:pPr>
        <w:pStyle w:val="Heading2"/>
      </w:pPr>
      <w:r>
        <w:t xml:space="preserve">Measurement &amp; Optimization</w:t>
      </w:r>
    </w:p>
    <w:p>
      <w:pPr>
        <w:pStyle w:val="FirstParagraph"/>
      </w:pPr>
      <w:r>
        <w:t xml:space="preserve">We track KPIs specific to the Russia Moscow context: User acquisition cost (UAC), retention rate within 90 days (target: ≥65%), NPS score among Moscow users, and referral rate. All data is analyzed through a dedicated Russia Moscow analytics dashboard updated weekly. Monthly reviews ensure campaigns align with Russian regulatory changes and Moscow's seasonal economic patterns (e.g., adjusting promotions for Q4 tax season).</w:t>
      </w:r>
    </w:p>
    <w:bookmarkEnd w:id="26"/>
    <w:bookmarkStart w:id="27" w:name="budget-allocation-moscow-focus"/>
    <w:p>
      <w:pPr>
        <w:pStyle w:val="Heading2"/>
      </w:pPr>
      <w:r>
        <w:t xml:space="preserve">Budget Allocation (Moscow Focus)</w:t>
      </w:r>
    </w:p>
    <w:p>
      <w:pPr>
        <w:pStyle w:val="FirstParagraph"/>
      </w:pPr>
      <w:r>
        <w:t xml:space="preserve">Initial investment: ₽95 million (approx. $1M) allocated as follows:</w:t>
      </w:r>
    </w:p>
    <w:p>
      <w:pPr>
        <w:numPr>
          <w:ilvl w:val="0"/>
          <w:numId w:val="1005"/>
        </w:numPr>
        <w:pStyle w:val="Compact"/>
      </w:pPr>
      <w:r>
        <w:t xml:space="preserve">60% Digital Marketing &amp; Influencer Partnerships (Moscow-specific social campaigns)</w:t>
      </w:r>
    </w:p>
    <w:p>
      <w:pPr>
        <w:numPr>
          <w:ilvl w:val="0"/>
          <w:numId w:val="1005"/>
        </w:numPr>
        <w:pStyle w:val="Compact"/>
      </w:pPr>
      <w:r>
        <w:t xml:space="preserve">20% Strategic SME Outreach &amp; Partnership Development</w:t>
      </w:r>
    </w:p>
    <w:p>
      <w:pPr>
        <w:numPr>
          <w:ilvl w:val="0"/>
          <w:numId w:val="1005"/>
        </w:numPr>
        <w:pStyle w:val="Compact"/>
      </w:pPr>
      <w:r>
        <w:t xml:space="preserve">15% Localized Content Creation (Russian-language materials, Moscow-themed ads)</w:t>
      </w:r>
    </w:p>
    <w:p>
      <w:pPr>
        <w:numPr>
          <w:ilvl w:val="0"/>
          <w:numId w:val="1005"/>
        </w:numPr>
        <w:pStyle w:val="Compact"/>
      </w:pPr>
      <w:r>
        <w:t xml:space="preserve">5% Performance Analytics &amp; Compliance Monitoring</w:t>
      </w:r>
    </w:p>
    <w:bookmarkEnd w:id="27"/>
    <w:bookmarkStart w:id="28" w:name="risk-mitigation-for-russia-operations"/>
    <w:p>
      <w:pPr>
        <w:pStyle w:val="Heading2"/>
      </w:pPr>
      <w:r>
        <w:t xml:space="preserve">Risk Mitigation for Russia Operations</w:t>
      </w:r>
    </w:p>
    <w:p>
      <w:pPr>
        <w:pStyle w:val="FirstParagraph"/>
      </w:pPr>
      <w:r>
        <w:t xml:space="preserve">We proactively address risks: All marketing content undergoes rigorous review by a Central Bank of Russia compliance officer. We maintain contingency budgets for potential regulatory shifts. Partnership agreements include clear clauses on data localization per Russian Federal Law No. 152-FZ.</w:t>
      </w:r>
    </w:p>
    <w:bookmarkEnd w:id="28"/>
    <w:bookmarkStart w:id="29" w:name="conclusion"/>
    <w:p>
      <w:pPr>
        <w:pStyle w:val="Heading2"/>
      </w:pPr>
      <w:r>
        <w:t xml:space="preserve">Conclusion</w:t>
      </w:r>
    </w:p>
    <w:p>
      <w:pPr>
        <w:pStyle w:val="FirstParagraph"/>
      </w:pPr>
      <w:r>
        <w:t xml:space="preserve">This Marketing Plan defines a clear path to establish Banker as the digital banking standard in Russia Moscow. By embedding deep cultural understanding, regulatory compliance, and Moscow-specific value propositions into every touchpoint, we move beyond generic marketing to deliver a solution that resonates authentically with the city's economic pulse. Success will be measured not just in numbers, but by Banker becoming synonymous with trust and innovation within the fabric of Moscow's financial ecosystem. This is not merely a Marketing Plan for a bank; it is the strategic blueprint for Banker to become Russia Moscow’s most trusted financial partner.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Russia Moscow</dc:title>
  <dc:creator/>
  <dc:language>en</dc:language>
  <cp:keywords/>
  <dcterms:created xsi:type="dcterms:W3CDTF">2026-07-23T21:24:44Z</dcterms:created>
  <dcterms:modified xsi:type="dcterms:W3CDTF">2026-07-23T21:24:44Z</dcterms:modified>
</cp:coreProperties>
</file>

<file path=docProps/custom.xml><?xml version="1.0" encoding="utf-8"?>
<Properties xmlns="http://schemas.openxmlformats.org/officeDocument/2006/custom-properties" xmlns:vt="http://schemas.openxmlformats.org/officeDocument/2006/docPropsVTypes"/>
</file>