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Banker</w:t>
      </w:r>
      <w:r>
        <w:t xml:space="preserve"> </w:t>
      </w:r>
      <w:r>
        <w:t xml:space="preserve">for</w:t>
      </w:r>
      <w:r>
        <w:t xml:space="preserve"> </w:t>
      </w:r>
      <w:r>
        <w:t xml:space="preserve">Singapore</w:t>
      </w:r>
      <w:r>
        <w:t xml:space="preserve"> </w:t>
      </w:r>
      <w:r>
        <w:t xml:space="preserve">Market</w:t>
      </w:r>
    </w:p>
    <w:bookmarkStart w:id="32" w:name="Xb274a0ca2820f8711a56a5a71ef2ea2cd4e262d"/>
    <w:p>
      <w:pPr>
        <w:pStyle w:val="Heading1"/>
      </w:pPr>
      <w:r>
        <w:t xml:space="preserve">Comprehensive Marketing Plan for Banker in Singapore</w:t>
      </w:r>
    </w:p>
    <w:bookmarkStart w:id="20" w:name="executive-summary"/>
    <w:p>
      <w:pPr>
        <w:pStyle w:val="Heading2"/>
      </w:pPr>
      <w:r>
        <w:t xml:space="preserve">Executive Summary</w:t>
      </w:r>
    </w:p>
    <w:p>
      <w:pPr>
        <w:pStyle w:val="FirstParagraph"/>
      </w:pPr>
      <w:r>
        <w:t xml:space="preserve">This strategic Marketing Plan outlines the roadmap for establishing "Banker" as Singapore's premier digital financial services platform. Targeting Singapore's high-growth fintech ecosystem, this plan leverages local market dynamics to position Banker as the trusted partner for both individual and SME clients seeking personalized banking solutions. With Singapore's financial sector projected to reach SGD 178 billion by 2025 (MAS Annual Report), Banker will capitalize on regulatory advancements like the Payment Services Act while addressing unmet needs in digital banking accessibility. This document details our tailored approach to penetrate Singapore's competitive landscape through culturally resonant strategies, compliance excellence, and hyper-localized customer engagement.</w:t>
      </w:r>
    </w:p>
    <w:bookmarkEnd w:id="20"/>
    <w:bookmarkStart w:id="21" w:name="market-analysis-singapore-context"/>
    <w:p>
      <w:pPr>
        <w:pStyle w:val="Heading2"/>
      </w:pPr>
      <w:r>
        <w:t xml:space="preserve">Market Analysis: Singapore Context</w:t>
      </w:r>
    </w:p>
    <w:p>
      <w:pPr>
        <w:pStyle w:val="FirstParagraph"/>
      </w:pPr>
      <w:r>
        <w:t xml:space="preserve">Singapore presents a uniquely fertile ground for Banker due to its world-class financial infrastructure, tech-savvy population (94% internet penetration), and MAS's progressive regulatory environment. Unlike traditional banks, Banker will differentiate through AI-driven financial advisory and zero-fee transactions – addressing key pain points identified in the 2023 Monetary Authority of Singapore (MAS) Customer Satisfaction Survey where 68% of respondents cited "complex fees" as a top frustration. The Singapore market also offers unique opportunities: a high concentration of affluent digital natives (ages 25-44 represent 57% of banking users), growing SME sector (80% businesses under 20 employees), and strong government support for fintech innovation through the Fintech Innovation Lab. This plan specifically tailors Banker's offerings to Singapore's multicultural demographics, including Malay, Chinese, Indian communities with varying financial literacy levels.</w:t>
      </w:r>
    </w:p>
    <w:bookmarkEnd w:id="21"/>
    <w:bookmarkStart w:id="22" w:name="X05cfe3bacb7c5e82d21880dac04e882e48f8dc4"/>
    <w:p>
      <w:pPr>
        <w:pStyle w:val="Heading2"/>
      </w:pPr>
      <w:r>
        <w:t xml:space="preserve">Target Audience Segmentation in Singapore</w:t>
      </w:r>
    </w:p>
    <w:p>
      <w:pPr>
        <w:pStyle w:val="FirstParagraph"/>
      </w:pPr>
      <w:r>
        <w:t xml:space="preserve">Banker will focus on three high-potential segments within Singapore:</w:t>
      </w:r>
    </w:p>
    <w:p>
      <w:pPr>
        <w:numPr>
          <w:ilvl w:val="0"/>
          <w:numId w:val="1001"/>
        </w:numPr>
        <w:pStyle w:val="Compact"/>
      </w:pPr>
      <w:r>
        <w:rPr>
          <w:bCs/>
          <w:b/>
        </w:rPr>
        <w:t xml:space="preserve">SME Owners (35-55 years):</w:t>
      </w:r>
      <w:r>
        <w:t xml:space="preserve"> </w:t>
      </w:r>
      <w:r>
        <w:t xml:space="preserve">80% of Singapore SMEs lack dedicated financial teams. Banker will offer integrated cash flow management with MAS-compliant reporting tools tailored for SingPass users.</w:t>
      </w:r>
    </w:p>
    <w:p>
      <w:pPr>
        <w:numPr>
          <w:ilvl w:val="0"/>
          <w:numId w:val="1001"/>
        </w:numPr>
        <w:pStyle w:val="Compact"/>
      </w:pPr>
      <w:r>
        <w:rPr>
          <w:bCs/>
          <w:b/>
        </w:rPr>
        <w:t xml:space="preserve">Young Professionals (22-34 years):</w:t>
      </w:r>
      <w:r>
        <w:t xml:space="preserve"> </w:t>
      </w:r>
      <w:r>
        <w:t xml:space="preserve">Tech-native demographic seeking fee-free accounts with robo-advisory features. Targeting areas like Jurong East, Orchard Road and Singapore Management University clusters.</w:t>
      </w:r>
    </w:p>
    <w:p>
      <w:pPr>
        <w:numPr>
          <w:ilvl w:val="0"/>
          <w:numId w:val="1001"/>
        </w:numPr>
        <w:pStyle w:val="Compact"/>
      </w:pPr>
      <w:r>
        <w:rPr>
          <w:bCs/>
          <w:b/>
        </w:rPr>
        <w:t xml:space="preserve">Sentosa &amp; Resort Island Residents:</w:t>
      </w:r>
      <w:r>
        <w:t xml:space="preserve"> </w:t>
      </w:r>
      <w:r>
        <w:t xml:space="preserve">Premium segment requiring multilingual (English/Mandarin/Tamil) banking services for tourism-driven households. This niche leverages Singapore's unique geography.</w:t>
      </w:r>
    </w:p>
    <w:bookmarkEnd w:id="22"/>
    <w:bookmarkStart w:id="23" w:name="marketing-objectives-smart-framework"/>
    <w:p>
      <w:pPr>
        <w:pStyle w:val="Heading2"/>
      </w:pPr>
      <w:r>
        <w:t xml:space="preserve">Marketing Objectives (SMART Framework)</w:t>
      </w:r>
    </w:p>
    <w:p>
      <w:pPr>
        <w:numPr>
          <w:ilvl w:val="0"/>
          <w:numId w:val="1002"/>
        </w:numPr>
        <w:pStyle w:val="Compact"/>
      </w:pPr>
      <w:r>
        <w:rPr>
          <w:bCs/>
          <w:b/>
        </w:rPr>
        <w:t xml:space="preserve">Acquisition:</w:t>
      </w:r>
      <w:r>
        <w:t xml:space="preserve"> </w:t>
      </w:r>
      <w:r>
        <w:t xml:space="preserve">Achieve 50,000 registered users within Singapore's first 18 months (35% from SMEs, 45% from young professionals).</w:t>
      </w:r>
    </w:p>
    <w:p>
      <w:pPr>
        <w:numPr>
          <w:ilvl w:val="0"/>
          <w:numId w:val="1002"/>
        </w:numPr>
        <w:pStyle w:val="Compact"/>
      </w:pPr>
      <w:r>
        <w:rPr>
          <w:bCs/>
          <w:b/>
        </w:rPr>
        <w:t xml:space="preserve">Engagement:</w:t>
      </w:r>
      <w:r>
        <w:t xml:space="preserve"> </w:t>
      </w:r>
      <w:r>
        <w:t xml:space="preserve">Maintain 65% monthly active user rate through personalized financial insights powered by Banker's Singapore-specific AI model.</w:t>
      </w:r>
    </w:p>
    <w:p>
      <w:pPr>
        <w:numPr>
          <w:ilvl w:val="0"/>
          <w:numId w:val="1002"/>
        </w:numPr>
        <w:pStyle w:val="Compact"/>
      </w:pPr>
      <w:r>
        <w:rPr>
          <w:bCs/>
          <w:b/>
        </w:rPr>
        <w:t xml:space="preserve">Trust:</w:t>
      </w:r>
      <w:r>
        <w:t xml:space="preserve"> </w:t>
      </w:r>
      <w:r>
        <w:t xml:space="preserve">Attain 90% customer satisfaction rating in MAS-mandated quarterly surveys within Year 1, exceeding industry average of 72%.</w:t>
      </w:r>
    </w:p>
    <w:p>
      <w:pPr>
        <w:numPr>
          <w:ilvl w:val="0"/>
          <w:numId w:val="1002"/>
        </w:numPr>
        <w:pStyle w:val="Compact"/>
      </w:pPr>
      <w:r>
        <w:rPr>
          <w:bCs/>
          <w:b/>
        </w:rPr>
        <w:t xml:space="preserve">Market Share:</w:t>
      </w:r>
      <w:r>
        <w:t xml:space="preserve"> </w:t>
      </w:r>
      <w:r>
        <w:t xml:space="preserve">Secure 8% share of Singapore's digital banking segment by Month 24 (vs. current market leaders at 35-50%).</w:t>
      </w:r>
    </w:p>
    <w:bookmarkEnd w:id="23"/>
    <w:bookmarkStart w:id="27" w:name="Xea3e0e3100521ef976bb836d69b1e7b8697c7e0"/>
    <w:p>
      <w:pPr>
        <w:pStyle w:val="Heading2"/>
      </w:pPr>
      <w:r>
        <w:t xml:space="preserve">Core Marketing Strategies for Singapore Market</w:t>
      </w:r>
    </w:p>
    <w:p>
      <w:pPr>
        <w:pStyle w:val="FirstParagraph"/>
      </w:pPr>
      <w:r>
        <w:t xml:space="preserve">Banker's strategy centers on three pillars uniquely adapted for Singapore:</w:t>
      </w:r>
    </w:p>
    <w:bookmarkStart w:id="24" w:name="hyper-local-compliance-trust-building"/>
    <w:p>
      <w:pPr>
        <w:pStyle w:val="Heading3"/>
      </w:pPr>
      <w:r>
        <w:t xml:space="preserve">1. Hyper-Local Compliance &amp; Trust Building</w:t>
      </w:r>
    </w:p>
    <w:p>
      <w:pPr>
        <w:pStyle w:val="FirstParagraph"/>
      </w:pPr>
      <w:r>
        <w:t xml:space="preserve">Banker will embed MAS regulations into every product feature – including mandatory CPF integration and GST-compliant expense tracking. We'll partner with Singlife and DBS to co-host "Financial Wellness Clinics" across Singapore community centers, featuring local financial advisors. This directly addresses Singapore's cultural emphasis on community trust while meeting MAS requirements.</w:t>
      </w:r>
    </w:p>
    <w:bookmarkEnd w:id="24"/>
    <w:bookmarkStart w:id="25" w:name="culturally-resonant-digital-experience"/>
    <w:p>
      <w:pPr>
        <w:pStyle w:val="Heading3"/>
      </w:pPr>
      <w:r>
        <w:t xml:space="preserve">2. Culturally Resonant Digital Experience</w:t>
      </w:r>
    </w:p>
    <w:p>
      <w:pPr>
        <w:pStyle w:val="FirstParagraph"/>
      </w:pPr>
      <w:r>
        <w:t xml:space="preserve">The Banker app will feature bilingual interfaces (English/Mandarin) with Singlish-friendly chatbots and culturally relevant financial education modules. For example: "CNY Financial Planning" tools for festive spending patterns, or "HDB Loan Optimizer" for Singapore's unique housing market. All content aligns with Singapore's National Day themes and local festivals.</w:t>
      </w:r>
    </w:p>
    <w:bookmarkEnd w:id="25"/>
    <w:bookmarkStart w:id="26" w:name="strategic-sme-partnership-ecosystem"/>
    <w:p>
      <w:pPr>
        <w:pStyle w:val="Heading3"/>
      </w:pPr>
      <w:r>
        <w:t xml:space="preserve">3. Strategic SME Partnership Ecosystem</w:t>
      </w:r>
    </w:p>
    <w:p>
      <w:pPr>
        <w:pStyle w:val="FirstParagraph"/>
      </w:pPr>
      <w:r>
        <w:t xml:space="preserve">Beyond traditional banking, Banker will integrate with Singapore's business ecosystem: seamless GST filing via IRAS, SME Loan Connect partnerships with Enterprise Singapore, and "Banker for Hawker Centers" program offering fee-free accounts to 200+ hawker stall operators. This directly serves Singapore's economic backbone where SMEs contribute 61% of GDP.</w:t>
      </w:r>
    </w:p>
    <w:bookmarkEnd w:id="26"/>
    <w:bookmarkEnd w:id="27"/>
    <w:bookmarkStart w:id="28" w:name="X626bd9e86d22aa57b504ead48146353602eb94b"/>
    <w:p>
      <w:pPr>
        <w:pStyle w:val="Heading2"/>
      </w:pPr>
      <w:r>
        <w:t xml:space="preserve">Tactical Execution: Singapore-Specific Campaigns</w:t>
      </w:r>
    </w:p>
    <w:p>
      <w:pPr>
        <w:pStyle w:val="FirstParagraph"/>
      </w:pPr>
      <w:r>
        <w:t xml:space="preserve">Phase-based rollout for Singapore:</w:t>
      </w:r>
    </w:p>
    <w:p>
      <w:pPr>
        <w:numPr>
          <w:ilvl w:val="0"/>
          <w:numId w:val="1003"/>
        </w:numPr>
        <w:pStyle w:val="Compact"/>
      </w:pPr>
      <w:r>
        <w:rPr>
          <w:bCs/>
          <w:b/>
        </w:rPr>
        <w:t xml:space="preserve">Launch (Months 1-3):</w:t>
      </w:r>
      <w:r>
        <w:t xml:space="preserve"> </w:t>
      </w:r>
      <w:r>
        <w:t xml:space="preserve">"Banker Singapore Pledge" campaign featuring local influencers like entrepreneur Hwee Leng (co-founder of The KONG). Focus on zero fees and SingPass integration – the cornerstone of digital trust in Singapore.</w:t>
      </w:r>
    </w:p>
    <w:p>
      <w:pPr>
        <w:numPr>
          <w:ilvl w:val="0"/>
          <w:numId w:val="1003"/>
        </w:numPr>
        <w:pStyle w:val="Compact"/>
      </w:pPr>
      <w:r>
        <w:rPr>
          <w:bCs/>
          <w:b/>
        </w:rPr>
        <w:t xml:space="preserve">Growth (Months 4-12):</w:t>
      </w:r>
      <w:r>
        <w:t xml:space="preserve"> </w:t>
      </w:r>
      <w:r>
        <w:t xml:space="preserve">"SME Cash Flow Challenge" with Enterprise Singapore, offering free financial health audits. Targeting industrial estates like Punggol Digital District through physical pop-up booths.</w:t>
      </w:r>
    </w:p>
    <w:p>
      <w:pPr>
        <w:numPr>
          <w:ilvl w:val="0"/>
          <w:numId w:val="1003"/>
        </w:numPr>
        <w:pStyle w:val="Compact"/>
      </w:pPr>
      <w:r>
        <w:rPr>
          <w:bCs/>
          <w:b/>
        </w:rPr>
        <w:t xml:space="preserve">Maturity (Months 13-24):</w:t>
      </w:r>
      <w:r>
        <w:t xml:space="preserve"> </w:t>
      </w:r>
      <w:r>
        <w:t xml:space="preserve">"Banker Community Fund" matching user contributions for local causes – aligning with Singapore's strong social enterprise culture. Partner with organizations like Tote Board and National Kidney Foundation.</w:t>
      </w:r>
    </w:p>
    <w:bookmarkEnd w:id="28"/>
    <w:bookmarkStart w:id="29" w:name="budget-allocation-for-singapore-market"/>
    <w:p>
      <w:pPr>
        <w:pStyle w:val="Heading2"/>
      </w:pPr>
      <w:r>
        <w:t xml:space="preserve">Budget Allocation for Singapore Market</w:t>
      </w:r>
    </w:p>
    <w:p>
      <w:pPr>
        <w:pStyle w:val="FirstParagraph"/>
      </w:pPr>
      <w:r>
        <w:t xml:space="preserve">Total allocated budget: SGD 4.2 million (Year 1), prioritized as follows:</w:t>
      </w:r>
    </w:p>
    <w:p>
      <w:pPr>
        <w:numPr>
          <w:ilvl w:val="0"/>
          <w:numId w:val="1004"/>
        </w:numPr>
        <w:pStyle w:val="Compact"/>
      </w:pPr>
      <w:r>
        <w:t xml:space="preserve">50% Digital Acquisition: Targeted Meta/Google ads with geo-fencing around Singapore business hubs (e.g., Marina Bay, Jurong East)</w:t>
      </w:r>
    </w:p>
    <w:p>
      <w:pPr>
        <w:numPr>
          <w:ilvl w:val="0"/>
          <w:numId w:val="1004"/>
        </w:numPr>
        <w:pStyle w:val="Compact"/>
      </w:pPr>
      <w:r>
        <w:t xml:space="preserve">25% Local Partnerships: Co-marketing with Enterprise Singapore, Singlife, and community centers</w:t>
      </w:r>
    </w:p>
    <w:p>
      <w:pPr>
        <w:numPr>
          <w:ilvl w:val="0"/>
          <w:numId w:val="1004"/>
        </w:numPr>
        <w:pStyle w:val="Compact"/>
      </w:pPr>
      <w:r>
        <w:t xml:space="preserve">15% Content Localization: Creating Singapore-specific financial guides in local dialects</w:t>
      </w:r>
    </w:p>
    <w:p>
      <w:pPr>
        <w:numPr>
          <w:ilvl w:val="0"/>
          <w:numId w:val="1004"/>
        </w:numPr>
        <w:pStyle w:val="Compact"/>
      </w:pPr>
      <w:r>
        <w:t xml:space="preserve">10% Compliance &amp; Trust Building: MAS audit support and "Financial Wellness" workshops</w:t>
      </w:r>
    </w:p>
    <w:bookmarkEnd w:id="29"/>
    <w:bookmarkStart w:id="30" w:name="X8431a87b763ec4f121fb377c86eb11a0c1b118a"/>
    <w:p>
      <w:pPr>
        <w:pStyle w:val="Heading2"/>
      </w:pPr>
      <w:r>
        <w:t xml:space="preserve">Performance Measurement in Singapore Context</w:t>
      </w:r>
    </w:p>
    <w:p>
      <w:pPr>
        <w:pStyle w:val="FirstParagraph"/>
      </w:pPr>
      <w:r>
        <w:t xml:space="preserve">Beyond standard KPIs, Banker will track Singapore-specific metrics:</w:t>
      </w:r>
    </w:p>
    <w:p>
      <w:pPr>
        <w:numPr>
          <w:ilvl w:val="0"/>
          <w:numId w:val="1005"/>
        </w:numPr>
        <w:pStyle w:val="Compact"/>
      </w:pPr>
      <w:r>
        <w:t xml:space="preserve">Regulatory Adherence Score (vs. MAS guidelines)</w:t>
      </w:r>
    </w:p>
    <w:p>
      <w:pPr>
        <w:numPr>
          <w:ilvl w:val="0"/>
          <w:numId w:val="1005"/>
        </w:numPr>
        <w:pStyle w:val="Compact"/>
      </w:pPr>
      <w:r>
        <w:t xml:space="preserve">SingPass Integration Rate (% of users linking accounts)</w:t>
      </w:r>
    </w:p>
    <w:p>
      <w:pPr>
        <w:numPr>
          <w:ilvl w:val="0"/>
          <w:numId w:val="1005"/>
        </w:numPr>
        <w:pStyle w:val="Compact"/>
      </w:pPr>
      <w:r>
        <w:t xml:space="preserve">Multilingual Support Utilization (English/Mandarin/Tamil)</w:t>
      </w:r>
    </w:p>
    <w:p>
      <w:pPr>
        <w:numPr>
          <w:ilvl w:val="0"/>
          <w:numId w:val="1005"/>
        </w:numPr>
        <w:pStyle w:val="Compact"/>
      </w:pPr>
      <w:r>
        <w:t xml:space="preserve">Local Partnership ROI (e.g., Enterprise Singapore program conversions)</w:t>
      </w:r>
    </w:p>
    <w:bookmarkEnd w:id="30"/>
    <w:bookmarkStart w:id="31" w:name="conclusion-bankers-singapore-imperative"/>
    <w:p>
      <w:pPr>
        <w:pStyle w:val="Heading2"/>
      </w:pPr>
      <w:r>
        <w:t xml:space="preserve">Conclusion: Banker's Singapore Imperative</w:t>
      </w:r>
    </w:p>
    <w:p>
      <w:pPr>
        <w:pStyle w:val="FirstParagraph"/>
      </w:pPr>
      <w:r>
        <w:t xml:space="preserve">This Marketing Plan establishes Banker as not merely another fintech player in Singapore, but the essential financial partner for a nation where banking is deeply intertwined with national identity. By embedding itself within Singapore's regulatory fabric, cultural nuances, and economic realities – from HDB loan calculations to hawker center transactions – Banker will transcend traditional digital banking to become synonymous with trustworthy financial growth in Singapore Singapore. The plan's success hinges on our unwavering commitment to local context: every feature, campaign, and partnership is designed specifically for the Singaporean market, ensuring Banker doesn't just enter the market but becomes an indispensable part of its financial ecosystem.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Banker for Singapore Market</dc:title>
  <dc:creator/>
  <dc:language>en</dc:language>
  <cp:keywords/>
  <dcterms:created xsi:type="dcterms:W3CDTF">2026-07-24T07:08:20Z</dcterms:created>
  <dcterms:modified xsi:type="dcterms:W3CDTF">2026-07-24T07:08:20Z</dcterms:modified>
</cp:coreProperties>
</file>

<file path=docProps/custom.xml><?xml version="1.0" encoding="utf-8"?>
<Properties xmlns="http://schemas.openxmlformats.org/officeDocument/2006/custom-properties" xmlns:vt="http://schemas.openxmlformats.org/officeDocument/2006/docPropsVTypes"/>
</file>