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Switzerland</w:t>
      </w:r>
      <w:r>
        <w:t xml:space="preserve"> </w:t>
      </w:r>
      <w:r>
        <w:t xml:space="preserve">Zurich</w:t>
      </w:r>
      <w:r>
        <w:t xml:space="preserve"> </w:t>
      </w:r>
      <w:r>
        <w:t xml:space="preserve">Strategy</w:t>
      </w:r>
    </w:p>
    <w:bookmarkStart w:id="34" w:name="X43d985f83aee0339730c4c301130e4c2896c07d"/>
    <w:p>
      <w:pPr>
        <w:pStyle w:val="Heading1"/>
      </w:pPr>
      <w:r>
        <w:t xml:space="preserve">Comprehensive Marketing Plan for Banker in Switzerland Zurich Market</w:t>
      </w:r>
    </w:p>
    <w:p>
      <w:pPr>
        <w:pStyle w:val="FirstParagraph"/>
      </w:pPr>
      <w:r>
        <w:t xml:space="preserve">This strategic document outlines a targeted marketing approach for</w:t>
      </w:r>
      <w:r>
        <w:t xml:space="preserve"> </w:t>
      </w:r>
      <w:r>
        <w:rPr>
          <w:bCs/>
          <w:b/>
        </w:rPr>
        <w:t xml:space="preserve">Banker</w:t>
      </w:r>
      <w:r>
        <w:t xml:space="preserve">, positioning the financial services brand as the premier private banking partner in</w:t>
      </w:r>
      <w:r>
        <w:t xml:space="preserve"> </w:t>
      </w:r>
      <w:r>
        <w:rPr>
          <w:bCs/>
          <w:b/>
        </w:rPr>
        <w:t xml:space="preserve">Switzerland Zurich</w:t>
      </w:r>
      <w:r>
        <w:t xml:space="preserve">. The plan addresses the unique regulatory environment, client expectations, and competitive landscape of Zurich's elite financial market. With Switzerland's reputation as a global wealth management hub and Zurich as its financial capital, this strategy leverages local expertise to deliver unmatched value.</w:t>
      </w:r>
    </w:p>
    <w:bookmarkStart w:id="21" w:name="executive-summary"/>
    <w:p>
      <w:pPr>
        <w:pStyle w:val="Heading2"/>
      </w:pPr>
      <w:r>
        <w:t xml:space="preserve">Executive Summary</w:t>
      </w:r>
    </w:p>
    <w:p>
      <w:pPr>
        <w:pStyle w:val="FirstParagraph"/>
      </w:pPr>
      <w:r>
        <w:rPr>
          <w:bCs/>
          <w:b/>
        </w:rPr>
        <w:t xml:space="preserve">Banker</w:t>
      </w:r>
      <w:r>
        <w:t xml:space="preserve">'s mission in</w:t>
      </w:r>
      <w:r>
        <w:t xml:space="preserve"> </w:t>
      </w:r>
      <w:r>
        <w:rPr>
          <w:bCs/>
          <w:b/>
        </w:rPr>
        <w:t xml:space="preserve">Switzerland Zurich</w:t>
      </w:r>
      <w:r>
        <w:t xml:space="preserve"> </w:t>
      </w:r>
      <w:r>
        <w:t xml:space="preserve">is to become the preferred private banking partner for high-net-worth individuals (HNWIs) and family offices by combining Swiss regulatory excellence with personalized digital innovation. This</w:t>
      </w:r>
      <w:r>
        <w:t xml:space="preserve"> </w:t>
      </w:r>
      <w:r>
        <w:rPr>
          <w:iCs/>
          <w:i/>
        </w:rPr>
        <w:t xml:space="preserve">Marketing Plan</w:t>
      </w:r>
      <w:r>
        <w:t xml:space="preserve"> </w:t>
      </w:r>
      <w:r>
        <w:t xml:space="preserve">targets a 25% market share growth in Zurich's premium banking segment within three years, capturing €150M in new AUM through hyper-localized client acquisition. The strategy capitalizes on Switzerland's strict financial privacy laws and Zurich's concentration of global wealth, differentiating</w:t>
      </w:r>
      <w:r>
        <w:t xml:space="preserve"> </w:t>
      </w:r>
      <w:r>
        <w:rPr>
          <w:bCs/>
          <w:b/>
        </w:rPr>
        <w:t xml:space="preserve">Banker</w:t>
      </w:r>
      <w:r>
        <w:t xml:space="preserve"> </w:t>
      </w:r>
      <w:r>
        <w:t xml:space="preserve">through its "Swiss Precision &amp; Digital Agility" positioning.</w:t>
      </w:r>
    </w:p>
    <w:bookmarkStart w:id="20" w:name="why-zurich-why-now"/>
    <w:p>
      <w:pPr>
        <w:pStyle w:val="Heading3"/>
      </w:pPr>
      <w:r>
        <w:t xml:space="preserve">Why Zurich? Why Now?</w:t>
      </w:r>
    </w:p>
    <w:p>
      <w:pPr>
        <w:pStyle w:val="FirstParagraph"/>
      </w:pPr>
      <w:r>
        <w:t xml:space="preserve">Zurich hosts 40% of Switzerland's private banking assets under management, with 85% of HNWIs preferring local Swiss institutions. Following the 2023 EU AML directives and increased focus on ESG compliance, Zurich-based clients demand banks that understand both global regulations and Swiss cultural nuances.</w:t>
      </w:r>
      <w:r>
        <w:t xml:space="preserve"> </w:t>
      </w:r>
      <w:r>
        <w:rPr>
          <w:bCs/>
          <w:b/>
        </w:rPr>
        <w:t xml:space="preserve">Banker</w:t>
      </w:r>
      <w:r>
        <w:t xml:space="preserve">'s entry aligns with the city's shift toward tech-enhanced private banking, where 68% of ultra-high-net-worth clients now expect AI-driven portfolio analytics (Swiss Banking Association, 2023).</w:t>
      </w:r>
    </w:p>
    <w:bookmarkEnd w:id="20"/>
    <w:bookmarkEnd w:id="21"/>
    <w:bookmarkStart w:id="24" w:name="Xc8145914c1c27a79075ac731e0ed2c1538bd067"/>
    <w:p>
      <w:pPr>
        <w:pStyle w:val="Heading2"/>
      </w:pPr>
      <w:r>
        <w:t xml:space="preserve">Situation Analysis: Switzerland Zurich Context</w:t>
      </w:r>
    </w:p>
    <w:bookmarkStart w:id="22" w:name="market-landscape"/>
    <w:p>
      <w:pPr>
        <w:pStyle w:val="Heading3"/>
      </w:pPr>
      <w:r>
        <w:t xml:space="preserve">Market Landscape</w:t>
      </w:r>
    </w:p>
    <w:p>
      <w:pPr>
        <w:pStyle w:val="FirstParagraph"/>
      </w:pPr>
      <w:r>
        <w:rPr>
          <w:bCs/>
          <w:b/>
        </w:rPr>
        <w:t xml:space="preserve">Switzerland Zurich</w:t>
      </w:r>
      <w:r>
        <w:t xml:space="preserve">'s private banking market is highly consolidated (UBS, Credit Suisse, Julius Baer dominate 65% of volume), but fragmentation exists in specialized services. Key trends include:</w:t>
      </w:r>
    </w:p>
    <w:p>
      <w:pPr>
        <w:numPr>
          <w:ilvl w:val="0"/>
          <w:numId w:val="1001"/>
        </w:numPr>
        <w:pStyle w:val="Compact"/>
      </w:pPr>
      <w:r>
        <w:t xml:space="preserve">ESG integration: 72% of Zurich HNWIs now prioritize sustainable investing (PwC Swiss Wealth Report)</w:t>
      </w:r>
    </w:p>
    <w:p>
      <w:pPr>
        <w:numPr>
          <w:ilvl w:val="0"/>
          <w:numId w:val="1001"/>
        </w:numPr>
        <w:pStyle w:val="Compact"/>
      </w:pPr>
      <w:r>
        <w:t xml:space="preserve">Digital demand: 89% expect mobile-first banking experiences with real-time analytics</w:t>
      </w:r>
    </w:p>
    <w:p>
      <w:pPr>
        <w:numPr>
          <w:ilvl w:val="0"/>
          <w:numId w:val="1001"/>
        </w:numPr>
        <w:pStyle w:val="Compact"/>
      </w:pPr>
      <w:r>
        <w:t xml:space="preserve">Regulatory pressure: Increased FATCA/CRS compliance needs for cross-border clients</w:t>
      </w:r>
    </w:p>
    <w:bookmarkEnd w:id="22"/>
    <w:bookmarkStart w:id="23" w:name="swot-analysis-for-banker-in-zurich"/>
    <w:p>
      <w:pPr>
        <w:pStyle w:val="Heading3"/>
      </w:pPr>
      <w:r>
        <w:t xml:space="preserve">SWOT Analysis for Banker in Zurich</w:t>
      </w:r>
    </w:p>
    <w:p>
      <w:pPr>
        <w:pStyle w:val="FirstParagraph"/>
      </w:pPr>
      <w:r>
        <w:rPr>
          <w:bCs/>
          <w:b/>
        </w:rPr>
        <w:t xml:space="preserve">Strengths:</w:t>
      </w:r>
      <w:r>
        <w:t xml:space="preserve"> </w:t>
      </w:r>
      <w:r>
        <w:t xml:space="preserve">Agile tech stack, Swiss-licensed operations, multilingual (German/English/French) advisor network</w:t>
      </w:r>
      <w:r>
        <w:br/>
      </w:r>
      <w:r>
        <w:rPr>
          <w:bCs/>
          <w:b/>
        </w:rPr>
        <w:t xml:space="preserve">Weaknesses:</w:t>
      </w:r>
      <w:r>
        <w:t xml:space="preserve"> </w:t>
      </w:r>
      <w:r>
        <w:t xml:space="preserve">Limited brand recognition vs. legacy players, smaller asset base</w:t>
      </w:r>
      <w:r>
        <w:br/>
      </w:r>
      <w:r>
        <w:rPr>
          <w:bCs/>
          <w:b/>
        </w:rPr>
        <w:t xml:space="preserve">Opportunities:</w:t>
      </w:r>
      <w:r>
        <w:t xml:space="preserve"> </w:t>
      </w:r>
      <w:r>
        <w:t xml:space="preserve">Underserved ESG niche, digital-native client segment (ages 35-55), post-merger consolidation in Zurich market</w:t>
      </w:r>
      <w:r>
        <w:br/>
      </w:r>
      <w:r>
        <w:rPr>
          <w:bCs/>
          <w:b/>
        </w:rPr>
        <w:t xml:space="preserve">Threats:</w:t>
      </w:r>
      <w:r>
        <w:t xml:space="preserve"> </w:t>
      </w:r>
      <w:r>
        <w:t xml:space="preserve">Regulatory scrutiny on fintech partnerships, rising competition from global digital banks</w:t>
      </w:r>
    </w:p>
    <w:bookmarkEnd w:id="23"/>
    <w:bookmarkEnd w:id="24"/>
    <w:bookmarkStart w:id="25" w:name="target-audience-zurichs-premium-clients"/>
    <w:p>
      <w:pPr>
        <w:pStyle w:val="Heading2"/>
      </w:pPr>
      <w:r>
        <w:t xml:space="preserve">Target Audience: Zurich's Premium Clients</w:t>
      </w:r>
    </w:p>
    <w:p>
      <w:pPr>
        <w:pStyle w:val="FirstParagraph"/>
      </w:pPr>
      <w:r>
        <w:rPr>
          <w:bCs/>
          <w:b/>
        </w:rPr>
        <w:t xml:space="preserve">Banker</w:t>
      </w:r>
      <w:r>
        <w:t xml:space="preserve">'s primary target is Swiss-resident HNWIs (€5M+ liquid assets) and family offices in Zurich with these profiles:</w:t>
      </w:r>
    </w:p>
    <w:p>
      <w:pPr>
        <w:numPr>
          <w:ilvl w:val="0"/>
          <w:numId w:val="1002"/>
        </w:numPr>
        <w:pStyle w:val="Compact"/>
      </w:pPr>
      <w:r>
        <w:rPr>
          <w:bCs/>
          <w:b/>
        </w:rPr>
        <w:t xml:space="preserve">Established Family Offices:</w:t>
      </w:r>
      <w:r>
        <w:t xml:space="preserve"> </w:t>
      </w:r>
      <w:r>
        <w:t xml:space="preserve">Families seeking succession planning with ESG-aligned wealth preservation</w:t>
      </w:r>
    </w:p>
    <w:p>
      <w:pPr>
        <w:numPr>
          <w:ilvl w:val="0"/>
          <w:numId w:val="1002"/>
        </w:numPr>
        <w:pStyle w:val="Compact"/>
      </w:pPr>
      <w:r>
        <w:rPr>
          <w:bCs/>
          <w:b/>
        </w:rPr>
        <w:t xml:space="preserve">Global Entrepreneurs:</w:t>
      </w:r>
      <w:r>
        <w:t xml:space="preserve"> </w:t>
      </w:r>
      <w:r>
        <w:t xml:space="preserve">Tech founders relocating from Silicon Valley or Asia requiring cross-border tax optimization</w:t>
      </w:r>
    </w:p>
    <w:p>
      <w:pPr>
        <w:numPr>
          <w:ilvl w:val="0"/>
          <w:numId w:val="1002"/>
        </w:numPr>
        <w:pStyle w:val="Compact"/>
      </w:pPr>
      <w:r>
        <w:rPr>
          <w:bCs/>
          <w:b/>
        </w:rPr>
        <w:t xml:space="preserve">Sustainability-Driven Investors:</w:t>
      </w:r>
      <w:r>
        <w:t xml:space="preserve"> </w:t>
      </w:r>
      <w:r>
        <w:t xml:space="preserve">Clients prioritizing SDG-compliant portfolios (e.g., renewable energy, green real estate)</w:t>
      </w:r>
    </w:p>
    <w:p>
      <w:pPr>
        <w:pStyle w:val="FirstParagraph"/>
      </w:pPr>
      <w:r>
        <w:t xml:space="preserve">Critical to this audience is understanding Zurich's cultural context: clients value discretion, regulatory expertise, and physical presence in the city center. The</w:t>
      </w:r>
      <w:r>
        <w:t xml:space="preserve"> </w:t>
      </w:r>
      <w:r>
        <w:rPr>
          <w:iCs/>
          <w:i/>
        </w:rPr>
        <w:t xml:space="preserve">Marketing Plan</w:t>
      </w:r>
      <w:r>
        <w:t xml:space="preserve"> </w:t>
      </w:r>
      <w:r>
        <w:t xml:space="preserve">rejects generic approaches for hyper-localized engagement.</w:t>
      </w:r>
    </w:p>
    <w:bookmarkEnd w:id="25"/>
    <w:bookmarkStart w:id="26" w:name="marketing-objectives-3-year-horizon"/>
    <w:p>
      <w:pPr>
        <w:pStyle w:val="Heading2"/>
      </w:pPr>
      <w:r>
        <w:t xml:space="preserve">Marketing Objectives (3-Year Horizon)</w:t>
      </w:r>
    </w:p>
    <w:p>
      <w:pPr>
        <w:pStyle w:val="FirstParagraph"/>
      </w:pPr>
      <w:r>
        <w:rPr>
          <w:bCs/>
          <w:b/>
        </w:rPr>
        <w:t xml:space="preserve">1. Market Positioning:</w:t>
      </w:r>
      <w:r>
        <w:t xml:space="preserve"> </w:t>
      </w:r>
      <w:r>
        <w:t xml:space="preserve">Achieve 70% brand recall among Zurich HNWIs as "Swiss-licensed with digital edge" by Year 2.</w:t>
      </w:r>
    </w:p>
    <w:p>
      <w:pPr>
        <w:pStyle w:val="BodyText"/>
      </w:pPr>
      <w:r>
        <w:rPr>
          <w:bCs/>
          <w:b/>
        </w:rPr>
        <w:t xml:space="preserve">2. Client Acquisition:</w:t>
      </w:r>
      <w:r>
        <w:t xml:space="preserve"> </w:t>
      </w:r>
      <w:r>
        <w:t xml:space="preserve">Acquire 85 new premium clients (€3M+ average AUM) in Zurich by Year 3.</w:t>
      </w:r>
    </w:p>
    <w:p>
      <w:pPr>
        <w:pStyle w:val="BodyText"/>
      </w:pPr>
      <w:r>
        <w:rPr>
          <w:bCs/>
          <w:b/>
        </w:rPr>
        <w:t xml:space="preserve">3. Digital Adoption:</w:t>
      </w:r>
      <w:r>
        <w:t xml:space="preserve"> </w:t>
      </w:r>
      <w:r>
        <w:t xml:space="preserve">Achieve 40% of Zurich clients using Banker's mobile platform for portfolio management within 18 months.</w:t>
      </w:r>
    </w:p>
    <w:p>
      <w:pPr>
        <w:pStyle w:val="BodyText"/>
      </w:pPr>
      <w:r>
        <w:rPr>
          <w:bCs/>
          <w:b/>
        </w:rPr>
        <w:t xml:space="preserve">4. ESG Leadership:</w:t>
      </w:r>
      <w:r>
        <w:t xml:space="preserve"> </w:t>
      </w:r>
      <w:r>
        <w:t xml:space="preserve">Position as Zurich's top ESG-focused private bank through 50+ client case studies by Year 2.</w:t>
      </w:r>
    </w:p>
    <w:bookmarkEnd w:id="26"/>
    <w:bookmarkStart w:id="30" w:name="marketing-strategies-tactics"/>
    <w:p>
      <w:pPr>
        <w:pStyle w:val="Heading2"/>
      </w:pPr>
      <w:r>
        <w:t xml:space="preserve">Marketing Strategies &amp; Tactics</w:t>
      </w:r>
    </w:p>
    <w:bookmarkStart w:id="27" w:name="hyper-localized-brand-positioning"/>
    <w:p>
      <w:pPr>
        <w:pStyle w:val="Heading3"/>
      </w:pPr>
      <w:r>
        <w:t xml:space="preserve">1. Hyper-Localized Brand Positioning</w:t>
      </w:r>
    </w:p>
    <w:p>
      <w:pPr>
        <w:pStyle w:val="FirstParagraph"/>
      </w:pPr>
      <w:r>
        <w:rPr>
          <w:bCs/>
          <w:b/>
        </w:rPr>
        <w:t xml:space="preserve">Banker</w:t>
      </w:r>
      <w:r>
        <w:t xml:space="preserve">'s Zurich campaign "Swiss Precision, Your Digital Edge" emphasizes:</w:t>
      </w:r>
    </w:p>
    <w:p>
      <w:pPr>
        <w:numPr>
          <w:ilvl w:val="0"/>
          <w:numId w:val="1003"/>
        </w:numPr>
        <w:pStyle w:val="Compact"/>
      </w:pPr>
      <w:r>
        <w:rPr>
          <w:iCs/>
          <w:i/>
        </w:rPr>
        <w:t xml:space="preserve">Cultural Nuance:</w:t>
      </w:r>
      <w:r>
        <w:t xml:space="preserve"> </w:t>
      </w:r>
      <w:r>
        <w:t xml:space="preserve">Advertisements featuring Zurich landmarks (Grossmünster, Bahnhofstrasse) with discreet financial services messaging</w:t>
      </w:r>
    </w:p>
    <w:p>
      <w:pPr>
        <w:numPr>
          <w:ilvl w:val="0"/>
          <w:numId w:val="1003"/>
        </w:numPr>
        <w:pStyle w:val="Compact"/>
      </w:pPr>
      <w:r>
        <w:rPr>
          <w:iCs/>
          <w:i/>
        </w:rPr>
        <w:t xml:space="preserve">Regulatory Trust:</w:t>
      </w:r>
      <w:r>
        <w:t xml:space="preserve"> </w:t>
      </w:r>
      <w:r>
        <w:t xml:space="preserve">Highlighting ISO 27001 certification and direct regulatory relationships with FINMA</w:t>
      </w:r>
    </w:p>
    <w:p>
      <w:pPr>
        <w:numPr>
          <w:ilvl w:val="0"/>
          <w:numId w:val="1003"/>
        </w:numPr>
        <w:pStyle w:val="Compact"/>
      </w:pPr>
      <w:r>
        <w:rPr>
          <w:iCs/>
          <w:i/>
        </w:rPr>
        <w:t xml:space="preserve">Digital Differentiation:</w:t>
      </w:r>
      <w:r>
        <w:t xml:space="preserve"> </w:t>
      </w:r>
      <w:r>
        <w:t xml:space="preserve">"AI Portfolio Compass" tool showing real-time ESG impact metrics on Zurich client portfolios</w:t>
      </w:r>
    </w:p>
    <w:bookmarkEnd w:id="27"/>
    <w:bookmarkStart w:id="28" w:name="zurich-exclusive-client-acquisition"/>
    <w:p>
      <w:pPr>
        <w:pStyle w:val="Heading3"/>
      </w:pPr>
      <w:r>
        <w:t xml:space="preserve">2. Zurich-Exclusive Client Acquisition</w:t>
      </w:r>
    </w:p>
    <w:p>
      <w:pPr>
        <w:pStyle w:val="FirstParagraph"/>
      </w:pPr>
      <w:r>
        <w:t xml:space="preserve">Tactics designed for Zurich's intimate business ecosystem:</w:t>
      </w:r>
    </w:p>
    <w:p>
      <w:pPr>
        <w:numPr>
          <w:ilvl w:val="0"/>
          <w:numId w:val="1004"/>
        </w:numPr>
        <w:pStyle w:val="Compact"/>
      </w:pPr>
      <w:r>
        <w:rPr>
          <w:bCs/>
          <w:b/>
        </w:rPr>
        <w:t xml:space="preserve">Private Wealth Concierge:</w:t>
      </w:r>
      <w:r>
        <w:t xml:space="preserve"> </w:t>
      </w:r>
      <w:r>
        <w:t xml:space="preserve">Physical presence at exclusive events like the "Zurich Private Banking Summit" (partnering with Zürcher Kantonalbank)</w:t>
      </w:r>
    </w:p>
    <w:p>
      <w:pPr>
        <w:numPr>
          <w:ilvl w:val="0"/>
          <w:numId w:val="1004"/>
        </w:numPr>
        <w:pStyle w:val="Compact"/>
      </w:pPr>
      <w:r>
        <w:rPr>
          <w:bCs/>
          <w:b/>
        </w:rPr>
        <w:t xml:space="preserve">Family Office Partnerships:</w:t>
      </w:r>
      <w:r>
        <w:t xml:space="preserve"> </w:t>
      </w:r>
      <w:r>
        <w:t xml:space="preserve">Co-hosting ESG strategy workshops at Zurich's Baur au Lac hotel with local legal firms</w:t>
      </w:r>
    </w:p>
    <w:p>
      <w:pPr>
        <w:numPr>
          <w:ilvl w:val="0"/>
          <w:numId w:val="1004"/>
        </w:numPr>
        <w:pStyle w:val="Compact"/>
      </w:pPr>
      <w:r>
        <w:rPr>
          <w:bCs/>
          <w:b/>
        </w:rPr>
        <w:t xml:space="preserve">Digital Targeting:</w:t>
      </w:r>
      <w:r>
        <w:t xml:space="preserve"> </w:t>
      </w:r>
      <w:r>
        <w:t xml:space="preserve">Geo-fenced LinkedIn campaigns targeting executives in Zurich-based companies (e.g., Novartis, ABB) with "Cross-Border Tax Efficiency" content</w:t>
      </w:r>
    </w:p>
    <w:bookmarkEnd w:id="28"/>
    <w:bookmarkStart w:id="29" w:name="esg-integration-as-core-offering"/>
    <w:p>
      <w:pPr>
        <w:pStyle w:val="Heading3"/>
      </w:pPr>
      <w:r>
        <w:t xml:space="preserve">3. ESG Integration as Core Offering</w:t>
      </w:r>
    </w:p>
    <w:p>
      <w:pPr>
        <w:pStyle w:val="FirstParagraph"/>
      </w:pPr>
      <w:r>
        <w:t xml:space="preserve">Developing Zurich-specific ESG solutions:</w:t>
      </w:r>
    </w:p>
    <w:p>
      <w:pPr>
        <w:numPr>
          <w:ilvl w:val="0"/>
          <w:numId w:val="1005"/>
        </w:numPr>
        <w:pStyle w:val="Compact"/>
      </w:pPr>
      <w:r>
        <w:rPr>
          <w:iCs/>
          <w:i/>
        </w:rPr>
        <w:t xml:space="preserve">Zurich Green Portfolio Index:</w:t>
      </w:r>
      <w:r>
        <w:t xml:space="preserve"> </w:t>
      </w:r>
      <w:r>
        <w:t xml:space="preserve">Custom index tracking Swiss eco-projects (e.g., solar farms in canton Zurich)</w:t>
      </w:r>
    </w:p>
    <w:p>
      <w:pPr>
        <w:numPr>
          <w:ilvl w:val="0"/>
          <w:numId w:val="1005"/>
        </w:numPr>
        <w:pStyle w:val="Compact"/>
      </w:pPr>
      <w:r>
        <w:rPr>
          <w:iCs/>
          <w:i/>
        </w:rPr>
        <w:t xml:space="preserve">Sustainability Verification:</w:t>
      </w:r>
      <w:r>
        <w:t xml:space="preserve"> </w:t>
      </w:r>
      <w:r>
        <w:t xml:space="preserve">Partnerships with ETH Zurich for independent ESG impact reporting</w:t>
      </w:r>
    </w:p>
    <w:p>
      <w:pPr>
        <w:numPr>
          <w:ilvl w:val="0"/>
          <w:numId w:val="1005"/>
        </w:numPr>
        <w:pStyle w:val="Compact"/>
      </w:pPr>
      <w:r>
        <w:rPr>
          <w:iCs/>
          <w:i/>
        </w:rPr>
        <w:t xml:space="preserve">Client Testimonials:</w:t>
      </w:r>
      <w:r>
        <w:t xml:space="preserve"> </w:t>
      </w:r>
      <w:r>
        <w:t xml:space="preserve">Video series featuring Zurich-based families like the "Müller Family: Preserving Heritage Through ESG Investing"</w:t>
      </w:r>
    </w:p>
    <w:bookmarkEnd w:id="29"/>
    <w:bookmarkEnd w:id="30"/>
    <w:bookmarkStart w:id="31" w:name="budget-allocation-year-1-chf-2.8m"/>
    <w:p>
      <w:pPr>
        <w:pStyle w:val="Heading2"/>
      </w:pPr>
      <w:r>
        <w:t xml:space="preserve">Budget Allocation (Year 1: CHF 2.8M)</w:t>
      </w:r>
    </w:p>
    <w:p>
      <w:pPr>
        <w:pStyle w:val="FirstParagraph"/>
      </w:pPr>
      <w:r>
        <w:rPr>
          <w:bCs/>
          <w:b/>
        </w:rPr>
        <w:t xml:space="preserve">Marketing Plan</w:t>
      </w:r>
      <w:r>
        <w:t xml:space="preserve"> </w:t>
      </w:r>
      <w:r>
        <w:t xml:space="preserve">prioritizes high-ROI Zurich-specific channels:</w:t>
      </w:r>
    </w:p>
    <w:p>
      <w:pPr>
        <w:numPr>
          <w:ilvl w:val="0"/>
          <w:numId w:val="1006"/>
        </w:numPr>
        <w:pStyle w:val="Compact"/>
      </w:pPr>
      <w:r>
        <w:rPr>
          <w:bCs/>
          <w:b/>
        </w:rPr>
        <w:t xml:space="preserve">Relationship Marketing (45%):</w:t>
      </w:r>
      <w:r>
        <w:t xml:space="preserve"> </w:t>
      </w:r>
      <w:r>
        <w:t xml:space="preserve">Zurich-exclusive events, family office partnership programs (CHF 1.26M)</w:t>
      </w:r>
    </w:p>
    <w:p>
      <w:pPr>
        <w:numPr>
          <w:ilvl w:val="0"/>
          <w:numId w:val="1006"/>
        </w:numPr>
        <w:pStyle w:val="Compact"/>
      </w:pPr>
      <w:r>
        <w:rPr>
          <w:bCs/>
          <w:b/>
        </w:rPr>
        <w:t xml:space="preserve">Digital Campaigns (30%):</w:t>
      </w:r>
      <w:r>
        <w:t xml:space="preserve"> </w:t>
      </w:r>
      <w:r>
        <w:t xml:space="preserve">Geo-targeted ads, AI tool development, ESG content hub (CHF 0.84M)</w:t>
      </w:r>
    </w:p>
    <w:p>
      <w:pPr>
        <w:numPr>
          <w:ilvl w:val="0"/>
          <w:numId w:val="1006"/>
        </w:numPr>
        <w:pStyle w:val="Compact"/>
      </w:pPr>
      <w:r>
        <w:rPr>
          <w:bCs/>
          <w:b/>
        </w:rPr>
        <w:t xml:space="preserve">Brand Building (20%):</w:t>
      </w:r>
      <w:r>
        <w:t xml:space="preserve"> </w:t>
      </w:r>
      <w:r>
        <w:t xml:space="preserve">Zurich-focused PR, local media partnerships with</w:t>
      </w:r>
      <w:r>
        <w:t xml:space="preserve"> </w:t>
      </w:r>
      <w:r>
        <w:rPr>
          <w:iCs/>
          <w:i/>
        </w:rPr>
        <w:t xml:space="preserve">Zürcher Zeitung</w:t>
      </w:r>
      <w:r>
        <w:t xml:space="preserve">, cultural sponsorships (CHF 0.56M)</w:t>
      </w:r>
    </w:p>
    <w:p>
      <w:pPr>
        <w:numPr>
          <w:ilvl w:val="0"/>
          <w:numId w:val="1006"/>
        </w:numPr>
        <w:pStyle w:val="Compact"/>
      </w:pPr>
      <w:r>
        <w:rPr>
          <w:bCs/>
          <w:b/>
        </w:rPr>
        <w:t xml:space="preserve">Measurement (5%):</w:t>
      </w:r>
      <w:r>
        <w:t xml:space="preserve"> </w:t>
      </w:r>
      <w:r>
        <w:t xml:space="preserve">Client sentiment analytics, AUM attribution tracking (CHF 0.14M)</w:t>
      </w:r>
    </w:p>
    <w:bookmarkEnd w:id="31"/>
    <w:bookmarkStart w:id="32" w:name="implementation-timeline"/>
    <w:p>
      <w:pPr>
        <w:pStyle w:val="Heading2"/>
      </w:pPr>
      <w:r>
        <w:t xml:space="preserve">Implementation Timeline</w:t>
      </w:r>
    </w:p>
    <w:p>
      <w:pPr>
        <w:pStyle w:val="FirstParagraph"/>
      </w:pPr>
      <w:r>
        <w:rPr>
          <w:iCs/>
          <w:i/>
        </w:rPr>
        <w:t xml:space="preserve">Marketing Plan Execution in Zurich:</w:t>
      </w:r>
    </w:p>
    <w:p>
      <w:pPr>
        <w:pStyle w:val="BodyText"/>
      </w:pPr>
      <w:r>
        <w:t xml:space="preserve">Quarter</w:t>
      </w:r>
    </w:p>
    <w:p>
      <w:pPr>
        <w:pStyle w:val="BodyText"/>
      </w:pPr>
      <w:r>
        <w:t xml:space="preserve">Key Activities</w:t>
      </w:r>
    </w:p>
    <w:p>
      <w:pPr>
        <w:pStyle w:val="BodyText"/>
      </w:pPr>
      <w:r>
        <w:t xml:space="preserve">Zurich Focus</w:t>
      </w:r>
    </w:p>
    <w:p>
      <w:pPr>
        <w:pStyle w:val="BodyText"/>
      </w:pPr>
      <w:r>
        <w:t xml:space="preserve">Q1 2025</w:t>
      </w:r>
    </w:p>
    <w:p>
      <w:pPr>
        <w:pStyle w:val="BodyText"/>
      </w:pPr>
      <w:r>
        <w:t xml:space="preserve">Licensing finalization, Zurich team recruitment (6 advisors)</w:t>
      </w:r>
    </w:p>
    <w:p>
      <w:pPr>
        <w:pStyle w:val="BodyText"/>
      </w:pPr>
      <w:r>
        <w:t xml:space="preserve">FINMA compliance validation in Zurich office</w:t>
      </w:r>
    </w:p>
    <w:p>
      <w:pPr>
        <w:pStyle w:val="BodyText"/>
      </w:pPr>
      <w:r>
        <w:t xml:space="preserve">Q2 2025</w:t>
      </w:r>
    </w:p>
    <w:p>
      <w:pPr>
        <w:pStyle w:val="BodyText"/>
      </w:pPr>
      <w:r>
        <w:t xml:space="preserve">Launch "AI Portfolio Compass" tool; first family office workshop</w:t>
      </w:r>
    </w:p>
    <w:p>
      <w:pPr>
        <w:pStyle w:val="BodyText"/>
      </w:pPr>
      <w:r>
        <w:t xml:space="preserve">ETH Zurich partnership activation for ESG data</w:t>
      </w:r>
    </w:p>
    <w:p>
      <w:pPr>
        <w:pStyle w:val="BodyText"/>
      </w:pPr>
      <w:r>
        <w:t xml:space="preserve">Q3 2025: Zurich Private Banking Summit sponsorship; geo-targeted LinkedIn campaign launch</w:t>
      </w:r>
    </w:p>
    <w:p>
      <w:pPr>
        <w:pStyle w:val="BodyText"/>
      </w:pPr>
      <w:r>
        <w:t xml:space="preserve">Q4 2025</w:t>
      </w:r>
    </w:p>
    <w:p>
      <w:pPr>
        <w:pStyle w:val="BodyText"/>
      </w:pPr>
      <w:r>
        <w:t xml:space="preserve">Evaluate client acquisition metrics; refine Zurich ESG portfolio products</w:t>
      </w:r>
    </w:p>
    <w:p>
      <w:pPr>
        <w:pStyle w:val="BodyText"/>
      </w:pPr>
      <w:r>
        <w:t xml:space="preserve">First CHF 15M AUM milestone tracking</w:t>
      </w:r>
    </w:p>
    <w:bookmarkEnd w:id="32"/>
    <w:bookmarkStart w:id="33" w:name="measurement-success-criteria"/>
    <w:p>
      <w:pPr>
        <w:pStyle w:val="Heading2"/>
      </w:pPr>
      <w:r>
        <w:t xml:space="preserve">Measurement &amp; Success Criteria</w:t>
      </w:r>
    </w:p>
    <w:p>
      <w:pPr>
        <w:pStyle w:val="FirstParagraph"/>
      </w:pPr>
      <w:r>
        <w:t xml:space="preserve">The</w:t>
      </w:r>
      <w:r>
        <w:t xml:space="preserve"> </w:t>
      </w:r>
      <w:r>
        <w:rPr>
          <w:bCs/>
          <w:b/>
        </w:rPr>
        <w:t xml:space="preserve">Marketing Plan</w:t>
      </w:r>
      <w:r>
        <w:t xml:space="preserve"> </w:t>
      </w:r>
      <w:r>
        <w:t xml:space="preserve">uses Zurich-specific KPIs:</w:t>
      </w:r>
    </w:p>
    <w:p>
      <w:pPr>
        <w:numPr>
          <w:ilvl w:val="0"/>
          <w:numId w:val="1007"/>
        </w:numPr>
        <w:pStyle w:val="Compact"/>
      </w:pPr>
      <w:r>
        <w:rPr>
          <w:iCs/>
          <w:i/>
        </w:rPr>
        <w:t xml:space="preserve">Zurich Client Acquisition Cost (CAC):</w:t>
      </w:r>
      <w:r>
        <w:t xml:space="preserve"> </w:t>
      </w:r>
      <w:r>
        <w:t xml:space="preserve">Target: ≤ CHF 35,000 per premium client (vs. market average CHF 42,000)</w:t>
      </w:r>
    </w:p>
    <w:p>
      <w:pPr>
        <w:numPr>
          <w:ilvl w:val="0"/>
          <w:numId w:val="1007"/>
        </w:numPr>
        <w:pStyle w:val="Compact"/>
      </w:pPr>
      <w:r>
        <w:rPr>
          <w:iCs/>
          <w:i/>
        </w:rPr>
        <w:t xml:space="preserve">Zurich Brand Preference Index:</w:t>
      </w:r>
      <w:r>
        <w:t xml:space="preserve"> </w:t>
      </w:r>
      <w:r>
        <w:t xml:space="preserve">Achieve ≥65% awareness among target HNWIs by Year 2</w:t>
      </w:r>
    </w:p>
    <w:p>
      <w:pPr>
        <w:numPr>
          <w:ilvl w:val="0"/>
          <w:numId w:val="1007"/>
        </w:numPr>
        <w:pStyle w:val="Compact"/>
      </w:pPr>
      <w:r>
        <w:rPr>
          <w:iCs/>
          <w:i/>
        </w:rPr>
        <w:t xml:space="preserve">ESG Adoption Rate:</w:t>
      </w:r>
      <w:r>
        <w:t xml:space="preserve"> </w:t>
      </w:r>
      <w:r>
        <w:t xml:space="preserve">75% of new Zurich clients integrating ESG criteria within first year</w:t>
      </w:r>
    </w:p>
    <w:p>
      <w:pPr>
        <w:numPr>
          <w:ilvl w:val="0"/>
          <w:numId w:val="1007"/>
        </w:numPr>
        <w:pStyle w:val="Compact"/>
      </w:pPr>
      <w:r>
        <w:rPr>
          <w:iCs/>
          <w:i/>
        </w:rPr>
        <w:t xml:space="preserve">Digital Engagement:</w:t>
      </w:r>
      <w:r>
        <w:t xml:space="preserve"> </w:t>
      </w:r>
      <w:r>
        <w:t xml:space="preserve">Minimum 30% monthly active users on Banker's mobile platform in Zurich</w:t>
      </w:r>
    </w:p>
    <w:p>
      <w:pPr>
        <w:pStyle w:val="FirstParagraph"/>
      </w:pPr>
      <w:r>
        <w:t xml:space="preserve">This</w:t>
      </w:r>
      <w:r>
        <w:t xml:space="preserve"> </w:t>
      </w:r>
      <w:r>
        <w:rPr>
          <w:bCs/>
          <w:b/>
        </w:rPr>
        <w:t xml:space="preserve">Marketing Plan</w:t>
      </w:r>
      <w:r>
        <w:t xml:space="preserve"> </w:t>
      </w:r>
      <w:r>
        <w:t xml:space="preserve">ensures</w:t>
      </w:r>
      <w:r>
        <w:t xml:space="preserve"> </w:t>
      </w:r>
      <w:r>
        <w:rPr>
          <w:bCs/>
          <w:b/>
        </w:rPr>
        <w:t xml:space="preserve">Banker</w:t>
      </w:r>
      <w:r>
        <w:t xml:space="preserve">'s strategy is not merely "global" but deeply rooted in the Zurich ecosystem. By embedding Swiss regulatory expertise, cultural sensitivity, and digital innovation within the Zurich context, Banker will establish itself as the partner of choice for discerning clients navigating Switzerland's elite financial landscape. The plan prioritizes sustainable growth over market share—aligning perfectly with Zurich's values where reputation and precision outweigh rapid expansion.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Switzerland Zurich Strategy</dc:title>
  <dc:creator/>
  <dc:language>en</dc:language>
  <cp:keywords/>
  <dcterms:created xsi:type="dcterms:W3CDTF">2025-12-11T12:55:32Z</dcterms:created>
  <dcterms:modified xsi:type="dcterms:W3CDTF">2025-12-11T12:55:32Z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