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in</w:t>
      </w:r>
      <w:r>
        <w:t xml:space="preserve"> </w:t>
      </w:r>
      <w:r>
        <w:t xml:space="preserve">Thailand</w:t>
      </w:r>
      <w:r>
        <w:t xml:space="preserve"> </w:t>
      </w:r>
      <w:r>
        <w:t xml:space="preserve">Bangkok</w:t>
      </w:r>
    </w:p>
    <w:bookmarkStart w:id="33" w:name="Xb28e5353e9b3c87922aa4f68e5c2bc73be4fdf6"/>
    <w:p>
      <w:pPr>
        <w:pStyle w:val="Heading1"/>
      </w:pPr>
      <w:r>
        <w:t xml:space="preserve">Comprehensive Marketing Plan for Banker in Thailand Bangkok</w:t>
      </w:r>
    </w:p>
    <w:bookmarkStart w:id="20" w:name="executive-summary"/>
    <w:p>
      <w:pPr>
        <w:pStyle w:val="Heading2"/>
      </w:pPr>
      <w:r>
        <w:t xml:space="preserve">Executive Summary</w:t>
      </w:r>
    </w:p>
    <w:p>
      <w:pPr>
        <w:pStyle w:val="FirstParagraph"/>
      </w:pPr>
      <w:r>
        <w:t xml:space="preserve">This Marketing Plan outlines a strategic roadmap for "Banker," a premier digital banking platform, to capture significant market share in Thailand's dynamic Bangkok financial sector. As Bangkok emerges as Southeast Asia's leading financial hub, Banker positions itself as the innovative, customer-centric banking solution tailored for Thailand's evolving economic landscape. This plan details our approach to penetrate the competitive Thai market through localized digital engagement, culturally resonant product design, and community-driven initiatives—all while maintaining rigorous compliance with Thailand's Financial Institutions Act.</w:t>
      </w:r>
    </w:p>
    <w:bookmarkEnd w:id="20"/>
    <w:bookmarkStart w:id="21" w:name="X1a9d4666cc7f197acd66b79d512c380dfb7d93f"/>
    <w:p>
      <w:pPr>
        <w:pStyle w:val="Heading2"/>
      </w:pPr>
      <w:r>
        <w:t xml:space="preserve">Situation Analysis: Thailand Bangkok Market Context</w:t>
      </w:r>
    </w:p>
    <w:p>
      <w:pPr>
        <w:pStyle w:val="FirstParagraph"/>
      </w:pPr>
      <w:r>
        <w:t xml:space="preserve">Bangkok represents a $130 billion banking market with 75% of Thais using digital banking services (Bank of Thailand, 2023). However, legacy institutions dominate with outdated interfaces, leaving 68% of Bangkok's millennial and Gen-Z population dissatisfied (Statista). Competitors like Kasikornbank and Krungsri have strong physical networks but lack seamless mobile experiences. Banker identifies a critical gap: a platform blending Thai cultural values with cutting-edge fintech. Our analysis confirms high demand for instant remittances (Thailand processes $50B annually in remittances), Islamic banking services (15% of Bangkok's population requires Sharia-compliant products), and ESG-focused investment options—areas underserved by incumbents.</w:t>
      </w:r>
    </w:p>
    <w:bookmarkEnd w:id="21"/>
    <w:bookmarkStart w:id="22" w:name="X188037ea3065f02acdb50bc3a3cee5fe4564ea8"/>
    <w:p>
      <w:pPr>
        <w:pStyle w:val="Heading2"/>
      </w:pPr>
      <w:r>
        <w:t xml:space="preserve">Target Audience: Bangkok-Specific Segmentation</w:t>
      </w:r>
    </w:p>
    <w:p>
      <w:pPr>
        <w:pStyle w:val="FirstParagraph"/>
      </w:pPr>
      <w:r>
        <w:t xml:space="preserve">We prioritize three high-potential segments in Thailand Bangkok:</w:t>
      </w:r>
    </w:p>
    <w:p>
      <w:pPr>
        <w:numPr>
          <w:ilvl w:val="0"/>
          <w:numId w:val="1001"/>
        </w:numPr>
        <w:pStyle w:val="Compact"/>
      </w:pPr>
      <w:r>
        <w:rPr>
          <w:bCs/>
          <w:b/>
        </w:rPr>
        <w:t xml:space="preserve">Urban Professionals (25-40):</w:t>
      </w:r>
      <w:r>
        <w:t xml:space="preserve"> </w:t>
      </w:r>
      <w:r>
        <w:t xml:space="preserve">65% of Bangkok’s workforce seeking instant cross-border payments for international work/studies. They value app-based convenience over branch visits.</w:t>
      </w:r>
    </w:p>
    <w:p>
      <w:pPr>
        <w:numPr>
          <w:ilvl w:val="0"/>
          <w:numId w:val="1001"/>
        </w:numPr>
        <w:pStyle w:val="Compact"/>
      </w:pPr>
      <w:r>
        <w:rPr>
          <w:bCs/>
          <w:b/>
        </w:rPr>
        <w:t xml:space="preserve">Migrant Worker Families:</w:t>
      </w:r>
      <w:r>
        <w:t xml:space="preserve"> </w:t>
      </w:r>
      <w:r>
        <w:t xml:space="preserve">1.2 million Filipino/Myanmar workers sending remittances to Thailand; demand low-fee, transparent transfer services.</w:t>
      </w:r>
    </w:p>
    <w:p>
      <w:pPr>
        <w:numPr>
          <w:ilvl w:val="0"/>
          <w:numId w:val="1001"/>
        </w:numPr>
        <w:pStyle w:val="Compact"/>
      </w:pPr>
      <w:r>
        <w:rPr>
          <w:bCs/>
          <w:b/>
        </w:rPr>
        <w:t xml:space="preserve">SME Owners in Siam Square:</w:t>
      </w:r>
      <w:r>
        <w:t xml:space="preserve"> </w:t>
      </w:r>
      <w:r>
        <w:t xml:space="preserve">40% of Bangkok’s small businesses lack access to digital loans; require AI-driven cash flow management tools.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500,000 active users in Thailand Bangkok within 18 months</w:t>
      </w:r>
    </w:p>
    <w:p>
      <w:pPr>
        <w:numPr>
          <w:ilvl w:val="0"/>
          <w:numId w:val="1002"/>
        </w:numPr>
        <w:pStyle w:val="Compact"/>
      </w:pPr>
      <w:r>
        <w:t xml:space="preserve">Attain 35% market share among digital-first users in Bangkok</w:t>
      </w:r>
    </w:p>
    <w:p>
      <w:pPr>
        <w:numPr>
          <w:ilvl w:val="0"/>
          <w:numId w:val="1002"/>
        </w:numPr>
        <w:pStyle w:val="Compact"/>
      </w:pPr>
      <w:r>
        <w:t xml:space="preserve">Generate $12M in new loan disbursements for SMEs by Q4 2025</w:t>
      </w:r>
    </w:p>
    <w:p>
      <w:pPr>
        <w:numPr>
          <w:ilvl w:val="0"/>
          <w:numId w:val="1002"/>
        </w:numPr>
        <w:pStyle w:val="Compact"/>
      </w:pPr>
      <w:r>
        <w:t xml:space="preserve">Capture 40% of remittance transactions from migrant worker communities</w:t>
      </w:r>
    </w:p>
    <w:bookmarkEnd w:id="23"/>
    <w:bookmarkStart w:id="28" w:name="X6bae2ff342b6ef47c7e4c411e0a109d8a495ff7"/>
    <w:p>
      <w:pPr>
        <w:pStyle w:val="Heading2"/>
      </w:pPr>
      <w:r>
        <w:t xml:space="preserve">Marketing Strategies: The Banker Advantage</w:t>
      </w:r>
    </w:p>
    <w:p>
      <w:pPr>
        <w:pStyle w:val="FirstParagraph"/>
      </w:pPr>
      <w:r>
        <w:t xml:space="preserve">Our strategy integrates Thailand’s cultural nuances with technological innovation across the 4Ps:</w:t>
      </w:r>
    </w:p>
    <w:bookmarkStart w:id="24" w:name="product-culturally-engineered-solutions"/>
    <w:p>
      <w:pPr>
        <w:pStyle w:val="Heading3"/>
      </w:pPr>
      <w:r>
        <w:t xml:space="preserve">Product: Culturally Engineered Solutions</w:t>
      </w:r>
    </w:p>
    <w:p>
      <w:pPr>
        <w:pStyle w:val="FirstParagraph"/>
      </w:pPr>
      <w:r>
        <w:t xml:space="preserve">Beyond standard banking, Banker offers:</w:t>
      </w:r>
    </w:p>
    <w:p>
      <w:pPr>
        <w:numPr>
          <w:ilvl w:val="0"/>
          <w:numId w:val="1003"/>
        </w:numPr>
        <w:pStyle w:val="Compact"/>
      </w:pPr>
      <w:r>
        <w:rPr>
          <w:bCs/>
          <w:b/>
        </w:rPr>
        <w:t xml:space="preserve">Loi Krathong Remittance Feature:</w:t>
      </w:r>
      <w:r>
        <w:t xml:space="preserve"> </w:t>
      </w:r>
      <w:r>
        <w:t xml:space="preserve">Zero-fee transfers during Thai festivals (e.g., Loy Krathong), with culturally themed transaction animations.</w:t>
      </w:r>
    </w:p>
    <w:p>
      <w:pPr>
        <w:numPr>
          <w:ilvl w:val="0"/>
          <w:numId w:val="1003"/>
        </w:numPr>
        <w:pStyle w:val="Compact"/>
      </w:pPr>
      <w:r>
        <w:rPr>
          <w:bCs/>
          <w:b/>
        </w:rPr>
        <w:t xml:space="preserve">Saeng Nai App Integration:</w:t>
      </w:r>
      <w:r>
        <w:t xml:space="preserve"> </w:t>
      </w:r>
      <w:r>
        <w:t xml:space="preserve">Voice-controlled banking in Thai language for senior users, featuring Buddhist-inspired calming visuals.</w:t>
      </w:r>
    </w:p>
    <w:p>
      <w:pPr>
        <w:numPr>
          <w:ilvl w:val="0"/>
          <w:numId w:val="1003"/>
        </w:numPr>
        <w:pStyle w:val="Compact"/>
      </w:pPr>
      <w:r>
        <w:rPr>
          <w:bCs/>
          <w:b/>
        </w:rPr>
        <w:t xml:space="preserve">Thailand-Specific ESG Bonds:</w:t>
      </w:r>
      <w:r>
        <w:t xml:space="preserve"> </w:t>
      </w:r>
      <w:r>
        <w:t xml:space="preserve">Investment products funding renewable energy projects in Bangkok (e.g., solar panels on Wat Pho temples).</w:t>
      </w:r>
    </w:p>
    <w:bookmarkEnd w:id="24"/>
    <w:bookmarkStart w:id="25" w:name="pricing-tiered-value-based-model"/>
    <w:p>
      <w:pPr>
        <w:pStyle w:val="Heading3"/>
      </w:pPr>
      <w:r>
        <w:t xml:space="preserve">Pricing: Tiered Value-Based Model</w:t>
      </w:r>
    </w:p>
    <w:p>
      <w:pPr>
        <w:pStyle w:val="FirstParagraph"/>
      </w:pPr>
      <w:r>
        <w:t xml:space="preserve">We eliminate hidden fees for core services while introducing premium tiers:</w:t>
      </w:r>
    </w:p>
    <w:p>
      <w:pPr>
        <w:numPr>
          <w:ilvl w:val="0"/>
          <w:numId w:val="1004"/>
        </w:numPr>
        <w:pStyle w:val="Compact"/>
      </w:pPr>
      <w:r>
        <w:t xml:space="preserve">Free basic account (10 transactions/month)</w:t>
      </w:r>
    </w:p>
    <w:p>
      <w:pPr>
        <w:numPr>
          <w:ilvl w:val="0"/>
          <w:numId w:val="1004"/>
        </w:numPr>
        <w:pStyle w:val="Compact"/>
      </w:pPr>
      <w:r>
        <w:t xml:space="preserve">Standard Tier: 299 THB/month for unlimited remittances + insurance</w:t>
      </w:r>
    </w:p>
    <w:p>
      <w:pPr>
        <w:numPr>
          <w:ilvl w:val="0"/>
          <w:numId w:val="1004"/>
        </w:numPr>
        <w:pStyle w:val="Compact"/>
      </w:pPr>
      <w:r>
        <w:t xml:space="preserve">Enterprise Tier: Custom pricing for SMEs with AI cash flow analytics</w:t>
      </w:r>
    </w:p>
    <w:bookmarkEnd w:id="25"/>
    <w:bookmarkStart w:id="26" w:name="X8090e8e3836a13708304c4778ebccf65d9946e4"/>
    <w:p>
      <w:pPr>
        <w:pStyle w:val="Heading3"/>
      </w:pPr>
      <w:r>
        <w:t xml:space="preserve">Place: Hyper-Local Digital-Physical Hybrid</w:t>
      </w:r>
    </w:p>
    <w:p>
      <w:pPr>
        <w:pStyle w:val="FirstParagraph"/>
      </w:pPr>
      <w:r>
        <w:t xml:space="preserve">Relying on Bangkok’s digital infrastructure:</w:t>
      </w:r>
    </w:p>
    <w:p>
      <w:pPr>
        <w:numPr>
          <w:ilvl w:val="0"/>
          <w:numId w:val="1005"/>
        </w:numPr>
        <w:pStyle w:val="Compact"/>
      </w:pPr>
      <w:r>
        <w:t xml:space="preserve">Dedicated "Banker Hubs" in key areas (Sukhumvit, Ratchawong): Physical kiosks for account setup with Thai-speaking advisors.</w:t>
      </w:r>
    </w:p>
    <w:p>
      <w:pPr>
        <w:numPr>
          <w:ilvl w:val="0"/>
          <w:numId w:val="1005"/>
        </w:numPr>
        <w:pStyle w:val="Compact"/>
      </w:pPr>
      <w:r>
        <w:t xml:space="preserve">Partnerships with Bangkok’s ride-hailing apps (Grab, Bolt) for instant cash pickup at 500+ locations.</w:t>
      </w:r>
    </w:p>
    <w:p>
      <w:pPr>
        <w:numPr>
          <w:ilvl w:val="0"/>
          <w:numId w:val="1005"/>
        </w:numPr>
        <w:pStyle w:val="Compact"/>
      </w:pPr>
      <w:r>
        <w:t xml:space="preserve">Integration with Thailand's PromptPay system for seamless government tax payments.</w:t>
      </w:r>
    </w:p>
    <w:bookmarkEnd w:id="26"/>
    <w:bookmarkStart w:id="27" w:name="promotion-community-first-engagement"/>
    <w:p>
      <w:pPr>
        <w:pStyle w:val="Heading3"/>
      </w:pPr>
      <w:r>
        <w:t xml:space="preserve">Promotion: Community-First Engagement</w:t>
      </w:r>
    </w:p>
    <w:p>
      <w:pPr>
        <w:pStyle w:val="FirstParagraph"/>
      </w:pPr>
      <w:r>
        <w:t xml:space="preserve">We leverage Bangkok’s social fabric through:</w:t>
      </w:r>
    </w:p>
    <w:p>
      <w:pPr>
        <w:numPr>
          <w:ilvl w:val="0"/>
          <w:numId w:val="1006"/>
        </w:numPr>
        <w:pStyle w:val="Compact"/>
      </w:pPr>
      <w:r>
        <w:rPr>
          <w:bCs/>
          <w:b/>
        </w:rPr>
        <w:t xml:space="preserve">Collaboration with Thai Celebrities:</w:t>
      </w:r>
      <w:r>
        <w:t xml:space="preserve"> </w:t>
      </w:r>
      <w:r>
        <w:t xml:space="preserve">Partnership with actor/singer "Pong" for a viral campaign (#BankerWithMe) showcasing real user stories.</w:t>
      </w:r>
    </w:p>
    <w:p>
      <w:pPr>
        <w:numPr>
          <w:ilvl w:val="0"/>
          <w:numId w:val="1006"/>
        </w:numPr>
        <w:pStyle w:val="Compact"/>
      </w:pPr>
      <w:r>
        <w:rPr>
          <w:bCs/>
          <w:b/>
        </w:rPr>
        <w:t xml:space="preserve">Sponsorship of Bangkok Events:</w:t>
      </w:r>
      <w:r>
        <w:t xml:space="preserve"> </w:t>
      </w:r>
      <w:r>
        <w:t xml:space="preserve">Official banking partner for Bangkok International Film Festival and Siam Paragon’s annual charity events.</w:t>
      </w:r>
    </w:p>
    <w:p>
      <w:pPr>
        <w:numPr>
          <w:ilvl w:val="0"/>
          <w:numId w:val="1006"/>
        </w:numPr>
        <w:pStyle w:val="Compact"/>
      </w:pPr>
      <w:r>
        <w:rPr>
          <w:bCs/>
          <w:b/>
        </w:rPr>
        <w:t xml:space="preserve">Community Banking Ambassadors:</w:t>
      </w:r>
      <w:r>
        <w:t xml:space="preserve"> </w:t>
      </w:r>
      <w:r>
        <w:t xml:space="preserve">Hiring 200 local influencers from Wat Arun neighborhoods to educate communities on digital safety.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Regulatory approval, app localization (Thai language + Buddhist design elements), hire Bangkok marketing team.</w:t>
      </w:r>
    </w:p>
    <w:p>
      <w:pPr>
        <w:pStyle w:val="BodyText"/>
      </w:pPr>
      <w:r>
        <w:rPr>
          <w:bCs/>
          <w:b/>
        </w:rPr>
        <w:t xml:space="preserve">Months 4-6:</w:t>
      </w:r>
      <w:r>
        <w:t xml:space="preserve"> </w:t>
      </w:r>
      <w:r>
        <w:t xml:space="preserve">Launch "Banker for Migrants" campaign targeting airports and migrant worker centers. Partner with Thai Labor Ministry for outreach.</w:t>
      </w:r>
    </w:p>
    <w:p>
      <w:pPr>
        <w:pStyle w:val="BodyText"/>
      </w:pPr>
      <w:r>
        <w:rPr>
          <w:bCs/>
          <w:b/>
        </w:rPr>
        <w:t xml:space="preserve">Months 7-12:</w:t>
      </w:r>
      <w:r>
        <w:t xml:space="preserve"> </w:t>
      </w:r>
      <w:r>
        <w:t xml:space="preserve">Roll out SME financing dashboard; host "Digital Banking Fest" at Lumpini Park attracting 10K+ visitors.</w:t>
      </w:r>
    </w:p>
    <w:bookmarkEnd w:id="29"/>
    <w:bookmarkStart w:id="30" w:name="budget-allocation-total-5m"/>
    <w:p>
      <w:pPr>
        <w:pStyle w:val="Heading2"/>
      </w:pPr>
      <w:r>
        <w:t xml:space="preserve">Budget Allocation (Total: $5M)</w:t>
      </w:r>
    </w:p>
    <w:p>
      <w:pPr>
        <w:numPr>
          <w:ilvl w:val="0"/>
          <w:numId w:val="1007"/>
        </w:numPr>
        <w:pStyle w:val="Compact"/>
      </w:pPr>
      <w:r>
        <w:t xml:space="preserve">Digital Advertising (40%): Facebook/Line ads targeting Bangkok users by income/location</w:t>
      </w:r>
    </w:p>
    <w:p>
      <w:pPr>
        <w:numPr>
          <w:ilvl w:val="0"/>
          <w:numId w:val="1007"/>
        </w:numPr>
        <w:pStyle w:val="Compact"/>
      </w:pPr>
      <w:r>
        <w:t xml:space="preserve">Community Programs (30%): Local ambassadors, event sponsorships, and NGO partnerships</w:t>
      </w:r>
    </w:p>
    <w:p>
      <w:pPr>
        <w:numPr>
          <w:ilvl w:val="0"/>
          <w:numId w:val="1007"/>
        </w:numPr>
        <w:pStyle w:val="Compact"/>
      </w:pPr>
      <w:r>
        <w:t xml:space="preserve">Product Development (20%): App features for Thai cultural context</w:t>
      </w:r>
    </w:p>
    <w:p>
      <w:pPr>
        <w:numPr>
          <w:ilvl w:val="0"/>
          <w:numId w:val="1007"/>
        </w:numPr>
        <w:pStyle w:val="Compact"/>
      </w:pPr>
      <w:r>
        <w:t xml:space="preserve">Regulatory Compliance (10%): Adherence to Bank of Thailand’s digital banking guidelines</w:t>
      </w:r>
    </w:p>
    <w:bookmarkEnd w:id="30"/>
    <w:bookmarkStart w:id="31" w:name="evaluation-control-mechanisms"/>
    <w:p>
      <w:pPr>
        <w:pStyle w:val="Heading2"/>
      </w:pPr>
      <w:r>
        <w:t xml:space="preserve">Evaluation &amp; Control Mechanisms</w:t>
      </w:r>
    </w:p>
    <w:p>
      <w:pPr>
        <w:pStyle w:val="FirstParagraph"/>
      </w:pPr>
      <w:r>
        <w:t xml:space="preserve">We measure success through Bangkok-specific KPIs:</w:t>
      </w:r>
    </w:p>
    <w:p>
      <w:pPr>
        <w:numPr>
          <w:ilvl w:val="0"/>
          <w:numId w:val="1008"/>
        </w:numPr>
        <w:pStyle w:val="Compact"/>
      </w:pPr>
      <w:r>
        <w:t xml:space="preserve">Daily active users in Bangkok (target: +15% monthly)</w:t>
      </w:r>
    </w:p>
    <w:p>
      <w:pPr>
        <w:numPr>
          <w:ilvl w:val="0"/>
          <w:numId w:val="1008"/>
        </w:numPr>
        <w:pStyle w:val="Compact"/>
      </w:pPr>
      <w:r>
        <w:t xml:space="preserve">Remittance fee reduction compared to competitors (target: 40% lower)</w:t>
      </w:r>
    </w:p>
    <w:p>
      <w:pPr>
        <w:numPr>
          <w:ilvl w:val="0"/>
          <w:numId w:val="1008"/>
        </w:numPr>
        <w:pStyle w:val="Compact"/>
      </w:pPr>
      <w:r>
        <w:t xml:space="preserve">Customer satisfaction score (CSAT) from Thai user surveys</w:t>
      </w:r>
    </w:p>
    <w:bookmarkEnd w:id="31"/>
    <w:bookmarkStart w:id="32" w:name="X7504f0cc9b242217b9fdebe80c16ad890108fbd"/>
    <w:p>
      <w:pPr>
        <w:pStyle w:val="Heading2"/>
      </w:pPr>
      <w:r>
        <w:t xml:space="preserve">Conclusion: Banking the Future of Thailand Bangkok</w:t>
      </w:r>
    </w:p>
    <w:p>
      <w:pPr>
        <w:pStyle w:val="FirstParagraph"/>
      </w:pPr>
      <w:r>
        <w:t xml:space="preserve">This Marketing Plan positions Banker not merely as a financial institution, but as an integral partner in Bangkok’s economic evolution. By embedding cultural intelligence into every service—whether through Festival-themed remittances or SME-focused AI tools—we transform banking from a transactional necessity into a meaningful community asset. In Thailand’s rapidly digitizing landscape, Banker will lead by making finance accessible, respectful, and delightfully Thai. Our commitment to Bangkok is unwavering: this isn’t just a market entry; it’s the beginning of Thailand’s next financial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in Thailand Bangkok</dc:title>
  <dc:creator/>
  <dc:language>en</dc:language>
  <cp:keywords/>
  <dcterms:created xsi:type="dcterms:W3CDTF">2026-07-24T09:53:03Z</dcterms:created>
  <dcterms:modified xsi:type="dcterms:W3CDTF">2026-07-24T09:53:03Z</dcterms:modified>
</cp:coreProperties>
</file>

<file path=docProps/custom.xml><?xml version="1.0" encoding="utf-8"?>
<Properties xmlns="http://schemas.openxmlformats.org/officeDocument/2006/custom-properties" xmlns:vt="http://schemas.openxmlformats.org/officeDocument/2006/docPropsVTypes"/>
</file>