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Banker:</w:t>
      </w:r>
      <w:r>
        <w:t xml:space="preserve"> </w:t>
      </w:r>
      <w:r>
        <w:t xml:space="preserve">Abu</w:t>
      </w:r>
      <w:r>
        <w:t xml:space="preserve"> </w:t>
      </w:r>
      <w:r>
        <w:t xml:space="preserve">Dhabi</w:t>
      </w:r>
      <w:r>
        <w:t xml:space="preserve"> </w:t>
      </w:r>
      <w:r>
        <w:t xml:space="preserve">Strategy</w:t>
      </w:r>
    </w:p>
    <w:bookmarkStart w:id="32" w:name="X617579ed4941030a4d0e2c487c75febf3af1482"/>
    <w:p>
      <w:pPr>
        <w:pStyle w:val="Heading1"/>
      </w:pPr>
      <w:r>
        <w:t xml:space="preserve">Comprehensive Marketing Plan for Banker: Dominating the Financial Landscape in United Arab Emirates Abu Dhabi</w:t>
      </w:r>
    </w:p>
    <w:bookmarkStart w:id="20" w:name="executive-summary"/>
    <w:p>
      <w:pPr>
        <w:pStyle w:val="Heading2"/>
      </w:pPr>
      <w:r>
        <w:t xml:space="preserve">Executive Summary</w:t>
      </w:r>
    </w:p>
    <w:p>
      <w:pPr>
        <w:pStyle w:val="FirstParagraph"/>
      </w:pPr>
      <w:r>
        <w:t xml:space="preserve">This strategic Marketing Plan outlines a targeted approach for</w:t>
      </w:r>
      <w:r>
        <w:t xml:space="preserve"> </w:t>
      </w:r>
      <w:r>
        <w:rPr>
          <w:bCs/>
          <w:b/>
        </w:rPr>
        <w:t xml:space="preserve">Banker</w:t>
      </w:r>
      <w:r>
        <w:t xml:space="preserve">, positioning itself as the premier financial institution in the United Arab Emirates Abu Dhabi market. With Abu Dhabi's rapidly evolving financial ecosystem and growing demand for sophisticated banking services, this plan leverages local insights to capture 15% market share within three years. The strategy integrates digital innovation with culturally attuned customer engagement, ensuring</w:t>
      </w:r>
      <w:r>
        <w:t xml:space="preserve"> </w:t>
      </w:r>
      <w:r>
        <w:rPr>
          <w:bCs/>
          <w:b/>
        </w:rPr>
        <w:t xml:space="preserve">Banker</w:t>
      </w:r>
      <w:r>
        <w:t xml:space="preserve"> </w:t>
      </w:r>
      <w:r>
        <w:t xml:space="preserve">becomes synonymous with trust and excellence in the United Arab Emirates Abu Dhabi context.</w:t>
      </w:r>
    </w:p>
    <w:bookmarkEnd w:id="20"/>
    <w:bookmarkStart w:id="21" w:name="Xde204254903548d7e77850ae24c5866bc76a9c8"/>
    <w:p>
      <w:pPr>
        <w:pStyle w:val="Heading2"/>
      </w:pPr>
      <w:r>
        <w:t xml:space="preserve">Market Analysis: Abu Dhabi Banking Landscape</w:t>
      </w:r>
    </w:p>
    <w:p>
      <w:pPr>
        <w:pStyle w:val="FirstParagraph"/>
      </w:pPr>
      <w:r>
        <w:t xml:space="preserve">The United Arab Emirates Abu Dhabi market presents a high-potential environment with 5.7 million residents and a GDP growth rate of 4.1% (2023). Key insights include:</w:t>
      </w:r>
    </w:p>
    <w:p>
      <w:pPr>
        <w:numPr>
          <w:ilvl w:val="0"/>
          <w:numId w:val="1001"/>
        </w:numPr>
        <w:pStyle w:val="Compact"/>
      </w:pPr>
      <w:r>
        <w:t xml:space="preserve">Abu Dhabi's banking sector is dominated by traditional players, yet 68% of SMEs demand digital-first solutions (Central Bank of UAE Report)</w:t>
      </w:r>
    </w:p>
    <w:p>
      <w:pPr>
        <w:numPr>
          <w:ilvl w:val="0"/>
          <w:numId w:val="1001"/>
        </w:numPr>
        <w:pStyle w:val="Compact"/>
      </w:pPr>
      <w:r>
        <w:t xml:space="preserve">High-net-worth individuals (HNWIs) represent 12% of Abu Dhabi's population, seeking personalized wealth management</w:t>
      </w:r>
    </w:p>
    <w:p>
      <w:pPr>
        <w:numPr>
          <w:ilvl w:val="0"/>
          <w:numId w:val="1001"/>
        </w:numPr>
        <w:pStyle w:val="Compact"/>
      </w:pPr>
      <w:r>
        <w:t xml:space="preserve">Cultural sensitivity is critical: 89% of Emiratis prefer Arabic-language banking interactions (UAE Consumer Survey)</w:t>
      </w:r>
    </w:p>
    <w:p>
      <w:pPr>
        <w:pStyle w:val="FirstParagraph"/>
      </w:pPr>
      <w:r>
        <w:t xml:space="preserve">This analysis confirms an opportunity for</w:t>
      </w:r>
      <w:r>
        <w:t xml:space="preserve"> </w:t>
      </w:r>
      <w:r>
        <w:rPr>
          <w:bCs/>
          <w:b/>
        </w:rPr>
        <w:t xml:space="preserve">Banker</w:t>
      </w:r>
      <w:r>
        <w:t xml:space="preserve"> </w:t>
      </w:r>
      <w:r>
        <w:t xml:space="preserve">to differentiate through hyper-localized service in the United Arab Emirates Abu Dhabi market.</w:t>
      </w:r>
    </w:p>
    <w:bookmarkEnd w:id="21"/>
    <w:bookmarkStart w:id="22" w:name="target-audience-segmentation"/>
    <w:p>
      <w:pPr>
        <w:pStyle w:val="Heading2"/>
      </w:pPr>
      <w:r>
        <w:t xml:space="preserve">Target Audience Segmentation</w:t>
      </w:r>
    </w:p>
    <w:p>
      <w:pPr>
        <w:pStyle w:val="FirstParagraph"/>
      </w:pPr>
      <w:r>
        <w:t xml:space="preserve">We prioritize three core segments within Abu Dhabi:</w:t>
      </w:r>
    </w:p>
    <w:p>
      <w:pPr>
        <w:numPr>
          <w:ilvl w:val="0"/>
          <w:numId w:val="1002"/>
        </w:numPr>
        <w:pStyle w:val="Compact"/>
      </w:pPr>
      <w:r>
        <w:rPr>
          <w:bCs/>
          <w:b/>
        </w:rPr>
        <w:t xml:space="preserve">SME Owners (45%)</w:t>
      </w:r>
      <w:r>
        <w:t xml:space="preserve">: Tech startups and family-owned businesses needing scalable financing. Focus: Digital loan portals with Arabic/English support.</w:t>
      </w:r>
    </w:p>
    <w:p>
      <w:pPr>
        <w:numPr>
          <w:ilvl w:val="0"/>
          <w:numId w:val="1002"/>
        </w:numPr>
        <w:pStyle w:val="Compact"/>
      </w:pPr>
      <w:r>
        <w:rPr>
          <w:bCs/>
          <w:b/>
        </w:rPr>
        <w:t xml:space="preserve">HNWIs (30%)</w:t>
      </w:r>
      <w:r>
        <w:t xml:space="preserve">: Emirati families seeking Sharia-compliant wealth management. Focus: Private banking suites at Abu Dhabi Global Market (ADGM) headquarters.</w:t>
      </w:r>
    </w:p>
    <w:p>
      <w:pPr>
        <w:numPr>
          <w:ilvl w:val="0"/>
          <w:numId w:val="1002"/>
        </w:numPr>
        <w:pStyle w:val="Compact"/>
      </w:pPr>
      <w:r>
        <w:rPr>
          <w:bCs/>
          <w:b/>
        </w:rPr>
        <w:t xml:space="preserve">Young Professionals (25%)</w:t>
      </w:r>
      <w:r>
        <w:t xml:space="preserve">: 18-35 year-olds prioritizing mobile banking and financial literacy. Focus: Gamified savings apps with local event sponsorships.</w:t>
      </w:r>
    </w:p>
    <w:bookmarkEnd w:id="22"/>
    <w:bookmarkStart w:id="23" w:name="marketing-objectives-2024-2026"/>
    <w:p>
      <w:pPr>
        <w:pStyle w:val="Heading2"/>
      </w:pPr>
      <w:r>
        <w:t xml:space="preserve">Marketing Objectives (2024-2026)</w:t>
      </w:r>
    </w:p>
    <w:p>
      <w:pPr>
        <w:numPr>
          <w:ilvl w:val="0"/>
          <w:numId w:val="1003"/>
        </w:numPr>
        <w:pStyle w:val="Compact"/>
      </w:pPr>
      <w:r>
        <w:t xml:space="preserve">Acquire 10,000 new retail customers in Abu Dhabi within 18 months</w:t>
      </w:r>
    </w:p>
    <w:p>
      <w:pPr>
        <w:numPr>
          <w:ilvl w:val="0"/>
          <w:numId w:val="1003"/>
        </w:numPr>
        <w:pStyle w:val="Compact"/>
      </w:pPr>
      <w:r>
        <w:t xml:space="preserve">Achieve 4.5/5 average customer satisfaction score across UAE market research</w:t>
      </w:r>
    </w:p>
    <w:p>
      <w:pPr>
        <w:numPr>
          <w:ilvl w:val="0"/>
          <w:numId w:val="1003"/>
        </w:numPr>
        <w:pStyle w:val="Compact"/>
      </w:pPr>
      <w:r>
        <w:t xml:space="preserve">Secure partnerships with 25 Abu Dhabi-based businesses for co-branded financial solutions</w:t>
      </w:r>
    </w:p>
    <w:p>
      <w:pPr>
        <w:numPr>
          <w:ilvl w:val="0"/>
          <w:numId w:val="1003"/>
        </w:numPr>
        <w:pStyle w:val="Compact"/>
      </w:pPr>
      <w:r>
        <w:t xml:space="preserve">Generate AED 20M in new revenue from digital banking services by Year 3</w:t>
      </w:r>
    </w:p>
    <w:bookmarkEnd w:id="23"/>
    <w:bookmarkStart w:id="27" w:name="Xc253ac30d232e83a73091f65787fdc8778d873c"/>
    <w:p>
      <w:pPr>
        <w:pStyle w:val="Heading2"/>
      </w:pPr>
      <w:r>
        <w:t xml:space="preserve">Core Marketing Strategies for United Arab Emirates Abu Dhabi</w:t>
      </w:r>
    </w:p>
    <w:bookmarkStart w:id="24" w:name="X78e65bc7149c544409cbd62fe6621a5a848eb6c"/>
    <w:p>
      <w:pPr>
        <w:pStyle w:val="Heading3"/>
      </w:pPr>
      <w:r>
        <w:t xml:space="preserve">1. Culturally Embedded Digital Transformation</w:t>
      </w:r>
    </w:p>
    <w:p>
      <w:pPr>
        <w:pStyle w:val="FirstParagraph"/>
      </w:pPr>
      <w:r>
        <w:rPr>
          <w:bCs/>
          <w:b/>
        </w:rPr>
        <w:t xml:space="preserve">Banker</w:t>
      </w:r>
      <w:r>
        <w:t xml:space="preserve">'s mobile app will feature:</w:t>
      </w:r>
    </w:p>
    <w:p>
      <w:pPr>
        <w:numPr>
          <w:ilvl w:val="0"/>
          <w:numId w:val="1004"/>
        </w:numPr>
        <w:pStyle w:val="Compact"/>
      </w:pPr>
      <w:r>
        <w:t xml:space="preserve">Mandatory Arabic/English toggle with Emirati dialect support (e.g., "Khaliji" voice navigation)</w:t>
      </w:r>
    </w:p>
    <w:p>
      <w:pPr>
        <w:numPr>
          <w:ilvl w:val="0"/>
          <w:numId w:val="1004"/>
        </w:numPr>
        <w:pStyle w:val="Compact"/>
      </w:pPr>
      <w:r>
        <w:t xml:space="preserve">Local payment integration: Seamless connections to Abu Dhabi's Tamara (cashless payment) system</w:t>
      </w:r>
    </w:p>
    <w:p>
      <w:pPr>
        <w:numPr>
          <w:ilvl w:val="0"/>
          <w:numId w:val="1004"/>
        </w:numPr>
        <w:pStyle w:val="Compact"/>
      </w:pPr>
      <w:r>
        <w:t xml:space="preserve">Emirati cultural calendar alerts: Auto-reminders for Eid savings goals and Ramadan financial planning</w:t>
      </w:r>
    </w:p>
    <w:bookmarkEnd w:id="24"/>
    <w:bookmarkStart w:id="25" w:name="hyper-local-community-engagement"/>
    <w:p>
      <w:pPr>
        <w:pStyle w:val="Heading3"/>
      </w:pPr>
      <w:r>
        <w:t xml:space="preserve">2. Hyper-Local Community Engagement</w:t>
      </w:r>
    </w:p>
    <w:p>
      <w:pPr>
        <w:pStyle w:val="FirstParagraph"/>
      </w:pPr>
      <w:r>
        <w:t xml:space="preserve">We'll anchor our presence in Abu Dhabi through:</w:t>
      </w:r>
    </w:p>
    <w:p>
      <w:pPr>
        <w:numPr>
          <w:ilvl w:val="0"/>
          <w:numId w:val="1005"/>
        </w:numPr>
        <w:pStyle w:val="Compact"/>
      </w:pPr>
      <w:r>
        <w:rPr>
          <w:bCs/>
          <w:b/>
        </w:rPr>
        <w:t xml:space="preserve">Project Nour (Light)</w:t>
      </w:r>
      <w:r>
        <w:t xml:space="preserve">: Free financial literacy workshops at Al Bahr Mall and Khalifa Park, led by Emirati female finance experts</w:t>
      </w:r>
    </w:p>
    <w:p>
      <w:pPr>
        <w:numPr>
          <w:ilvl w:val="0"/>
          <w:numId w:val="1005"/>
        </w:numPr>
        <w:pStyle w:val="Compact"/>
      </w:pPr>
      <w:r>
        <w:t xml:space="preserve">Sponsorship of Abu Dhabi Grand Prix events with "Banker Financial Hub" pop-up experiences in Yas Island</w:t>
      </w:r>
    </w:p>
    <w:p>
      <w:pPr>
        <w:numPr>
          <w:ilvl w:val="0"/>
          <w:numId w:val="1005"/>
        </w:numPr>
        <w:pStyle w:val="Compact"/>
      </w:pPr>
      <w:r>
        <w:t xml:space="preserve">Collaboration with Abu Dhabi Tourism for "Invest in Abu Dhabi" package (e.g., banking services bundled with property investments)</w:t>
      </w:r>
    </w:p>
    <w:bookmarkEnd w:id="25"/>
    <w:bookmarkStart w:id="26" w:name="strategic-partnerships-in-uae-ecosystem"/>
    <w:p>
      <w:pPr>
        <w:pStyle w:val="Heading3"/>
      </w:pPr>
      <w:r>
        <w:t xml:space="preserve">3. Strategic Partnerships in UAE Ecosystem</w:t>
      </w:r>
    </w:p>
    <w:p>
      <w:pPr>
        <w:pStyle w:val="FirstParagraph"/>
      </w:pPr>
      <w:r>
        <w:t xml:space="preserve">Leveraging the United Arab Emirates' regulatory environment, we'll forge alliances with:</w:t>
      </w:r>
    </w:p>
    <w:p>
      <w:pPr>
        <w:numPr>
          <w:ilvl w:val="0"/>
          <w:numId w:val="1006"/>
        </w:numPr>
        <w:pStyle w:val="Compact"/>
      </w:pPr>
      <w:r>
        <w:rPr>
          <w:bCs/>
          <w:b/>
        </w:rPr>
        <w:t xml:space="preserve">ADGM (Abu Dhabi Global Market)</w:t>
      </w:r>
      <w:r>
        <w:t xml:space="preserve">: Co-developing fintech incubator for local startups</w:t>
      </w:r>
    </w:p>
    <w:p>
      <w:pPr>
        <w:numPr>
          <w:ilvl w:val="0"/>
          <w:numId w:val="1006"/>
        </w:numPr>
        <w:pStyle w:val="Compact"/>
      </w:pPr>
      <w:r>
        <w:rPr>
          <w:bCs/>
          <w:b/>
        </w:rPr>
        <w:t xml:space="preserve">Emirates NBD &amp; ADIB</w:t>
      </w:r>
      <w:r>
        <w:t xml:space="preserve">: Cross-promotional offers for corporate clients in Abu Dhabi's financial district</w:t>
      </w:r>
    </w:p>
    <w:p>
      <w:pPr>
        <w:numPr>
          <w:ilvl w:val="0"/>
          <w:numId w:val="1006"/>
        </w:numPr>
        <w:pStyle w:val="Compact"/>
      </w:pPr>
      <w:r>
        <w:rPr>
          <w:bCs/>
          <w:b/>
        </w:rPr>
        <w:t xml:space="preserve">National Schools Network</w:t>
      </w:r>
      <w:r>
        <w:t xml:space="preserve">: "Future Banker" program teaching financial literacy to 50,000 students by 2026</w:t>
      </w:r>
    </w:p>
    <w:bookmarkEnd w:id="26"/>
    <w:bookmarkEnd w:id="27"/>
    <w:bookmarkStart w:id="28" w:name="X296882ed2575aac6a1059f2bb8597008418407d"/>
    <w:p>
      <w:pPr>
        <w:pStyle w:val="Heading2"/>
      </w:pPr>
      <w:r>
        <w:t xml:space="preserve">Budget Allocation: United Arab Emirates Abu Dhabi Focus</w:t>
      </w:r>
    </w:p>
    <w:p>
      <w:pPr>
        <w:pStyle w:val="FirstParagraph"/>
      </w:pPr>
      <w:r>
        <w:t xml:space="preserve">Strategy Category</w:t>
      </w:r>
    </w:p>
    <w:p>
      <w:pPr>
        <w:pStyle w:val="BodyText"/>
      </w:pPr>
      <w:r>
        <w:t xml:space="preserve">Allocation (% of Total Budget)</w:t>
      </w:r>
    </w:p>
    <w:p>
      <w:pPr>
        <w:pStyle w:val="BodyText"/>
      </w:pPr>
      <w:r>
        <w:t xml:space="preserve">Abu Dhabi-Specific Investment</w:t>
      </w:r>
    </w:p>
    <w:p>
      <w:pPr>
        <w:pStyle w:val="BodyText"/>
      </w:pPr>
      <w:r>
        <w:t xml:space="preserve">Digital Platform Enhancement</w:t>
      </w:r>
    </w:p>
    <w:p>
      <w:pPr>
        <w:pStyle w:val="BodyText"/>
      </w:pPr>
      <w:r>
        <w:t xml:space="preserve">35%</w:t>
      </w:r>
    </w:p>
    <w:p>
      <w:pPr>
        <w:pStyle w:val="BodyText"/>
      </w:pPr>
      <w:r>
        <w:t xml:space="preserve">AED 8.2M for Arabic dialect AI and Tamara integration</w:t>
      </w:r>
    </w:p>
    <w:p>
      <w:pPr>
        <w:pStyle w:val="BodyText"/>
      </w:pPr>
      <w:r>
        <w:t xml:space="preserve">Community Engagement</w:t>
      </w:r>
    </w:p>
    <w:p>
      <w:pPr>
        <w:pStyle w:val="BodyText"/>
      </w:pPr>
      <w:r>
        <w:t xml:space="preserve">30%</w:t>
      </w:r>
    </w:p>
    <w:p>
      <w:pPr>
        <w:pStyle w:val="BodyText"/>
      </w:pPr>
      <w:r>
        <w:t xml:space="preserve">AED 7.1M for Abu Dhabi venue activations and local influencer partnerships</w:t>
      </w:r>
    </w:p>
    <w:p>
      <w:pPr>
        <w:pStyle w:val="BodyText"/>
      </w:pPr>
      <w:r>
        <w:t xml:space="preserve">Strategic Partnerships</w:t>
      </w:r>
    </w:p>
    <w:p>
      <w:pPr>
        <w:pStyle w:val="BodyText"/>
      </w:pPr>
      <w:r>
        <w:t xml:space="preserve">25%</w:t>
      </w:r>
    </w:p>
    <w:p>
      <w:pPr>
        <w:pStyle w:val="BodyText"/>
      </w:pPr>
      <w:r>
        <w:t xml:space="preserve">AED 5.9M for ADGM collaboration and school programs</w:t>
      </w:r>
    </w:p>
    <w:p>
      <w:pPr>
        <w:pStyle w:val="BodyText"/>
      </w:pPr>
      <w:r>
        <w:t xml:space="preserve">Messaging &amp; Localization</w:t>
      </w:r>
    </w:p>
    <w:p>
      <w:pPr>
        <w:pStyle w:val="BodyText"/>
      </w:pPr>
      <w:r>
        <w:t xml:space="preserve">10%</w:t>
      </w:r>
    </w:p>
    <w:p>
      <w:pPr>
        <w:pStyle w:val="BodyText"/>
      </w:pPr>
      <w:r>
        <w:t xml:space="preserve">AED 2.4M for Emirati cultural consultancy and content creation</w:t>
      </w:r>
    </w:p>
    <w:bookmarkEnd w:id="28"/>
    <w:bookmarkStart w:id="29" w:name="implementation-timeline-abu-dhabi-focus"/>
    <w:p>
      <w:pPr>
        <w:pStyle w:val="Heading2"/>
      </w:pPr>
      <w:r>
        <w:t xml:space="preserve">Implementation Timeline (Abu Dhabi Focus)</w:t>
      </w:r>
    </w:p>
    <w:p>
      <w:pPr>
        <w:pStyle w:val="FirstParagraph"/>
      </w:pPr>
      <w:r>
        <w:rPr>
          <w:bCs/>
          <w:b/>
        </w:rPr>
        <w:t xml:space="preserve">Q1 2024:</w:t>
      </w:r>
      <w:r>
        <w:t xml:space="preserve"> </w:t>
      </w:r>
      <w:r>
        <w:t xml:space="preserve">Launch Arabic-first mobile app with Tamara integration; finalize ADGM partnership</w:t>
      </w:r>
    </w:p>
    <w:p>
      <w:pPr>
        <w:pStyle w:val="BodyText"/>
      </w:pPr>
      <w:r>
        <w:rPr>
          <w:bCs/>
          <w:b/>
        </w:rPr>
        <w:t xml:space="preserve">Q3 2024:</w:t>
      </w:r>
      <w:r>
        <w:t xml:space="preserve"> </w:t>
      </w:r>
      <w:r>
        <w:t xml:space="preserve">Deploy Project Nour workshops across Abu Dhabi education zones; initiate Yas Island Grand Prix activations</w:t>
      </w:r>
    </w:p>
    <w:p>
      <w:pPr>
        <w:pStyle w:val="BodyText"/>
      </w:pPr>
      <w:r>
        <w:rPr>
          <w:bCs/>
          <w:b/>
        </w:rPr>
        <w:t xml:space="preserve">H1 2025:</w:t>
      </w:r>
      <w:r>
        <w:t xml:space="preserve"> </w:t>
      </w:r>
      <w:r>
        <w:t xml:space="preserve">Roll out co-branded SME packages with Abu Dhabi Chamber of Commerce</w:t>
      </w:r>
    </w:p>
    <w:p>
      <w:pPr>
        <w:pStyle w:val="BodyText"/>
      </w:pPr>
      <w:r>
        <w:rPr>
          <w:bCs/>
          <w:b/>
        </w:rPr>
        <w:t xml:space="preserve">Q4 2026:</w:t>
      </w:r>
      <w:r>
        <w:t xml:space="preserve"> </w:t>
      </w:r>
      <w:r>
        <w:t xml:space="preserve">Achieve market share milestone; launch "Banker Abu Dhabi" sustainability report highlighting local impact</w:t>
      </w:r>
    </w:p>
    <w:bookmarkEnd w:id="29"/>
    <w:bookmarkStart w:id="30" w:name="metric-driven-evaluation"/>
    <w:p>
      <w:pPr>
        <w:pStyle w:val="Heading2"/>
      </w:pPr>
      <w:r>
        <w:t xml:space="preserve">Metric-Driven Evaluation</w:t>
      </w:r>
    </w:p>
    <w:p>
      <w:pPr>
        <w:pStyle w:val="FirstParagraph"/>
      </w:pPr>
      <w:r>
        <w:t xml:space="preserve">We measure success through UAE-specific KPIs:</w:t>
      </w:r>
    </w:p>
    <w:p>
      <w:pPr>
        <w:numPr>
          <w:ilvl w:val="0"/>
          <w:numId w:val="1007"/>
        </w:numPr>
        <w:pStyle w:val="Compact"/>
      </w:pPr>
      <w:r>
        <w:rPr>
          <w:bCs/>
          <w:b/>
        </w:rPr>
        <w:t xml:space="preserve">Cultural Relevance Score</w:t>
      </w:r>
      <w:r>
        <w:t xml:space="preserve">: 90%+ positive sentiment in Emirati social media mentions (tracked via local analytics tools)</w:t>
      </w:r>
    </w:p>
    <w:p>
      <w:pPr>
        <w:numPr>
          <w:ilvl w:val="0"/>
          <w:numId w:val="1007"/>
        </w:numPr>
        <w:pStyle w:val="Compact"/>
      </w:pPr>
      <w:r>
        <w:rPr>
          <w:bCs/>
          <w:b/>
        </w:rPr>
        <w:t xml:space="preserve">Abu Dhabi Market Penetration Rate</w:t>
      </w:r>
      <w:r>
        <w:t xml:space="preserve">: Quarterly comparison against Central Bank UAE reports</w:t>
      </w:r>
    </w:p>
    <w:p>
      <w:pPr>
        <w:numPr>
          <w:ilvl w:val="0"/>
          <w:numId w:val="1007"/>
        </w:numPr>
        <w:pStyle w:val="Compact"/>
      </w:pPr>
      <w:r>
        <w:rPr>
          <w:bCs/>
          <w:b/>
        </w:rPr>
        <w:t xml:space="preserve">SME Growth Rate</w:t>
      </w:r>
      <w:r>
        <w:t xml:space="preserve">: # of new business accounts opened with Abu Dhabi-based entities</w:t>
      </w:r>
    </w:p>
    <w:bookmarkEnd w:id="30"/>
    <w:bookmarkStart w:id="31" w:name="X3b4c34265bd74357e3cf9c215100299457d0ccb"/>
    <w:p>
      <w:pPr>
        <w:pStyle w:val="Heading2"/>
      </w:pPr>
      <w:r>
        <w:t xml:space="preserve">Conclusion: The Banker Advantage in Abu Dhabi</w:t>
      </w:r>
    </w:p>
    <w:p>
      <w:pPr>
        <w:pStyle w:val="FirstParagraph"/>
      </w:pPr>
      <w:r>
        <w:t xml:space="preserve">This Marketing Plan positions</w:t>
      </w:r>
      <w:r>
        <w:t xml:space="preserve"> </w:t>
      </w:r>
      <w:r>
        <w:rPr>
          <w:bCs/>
          <w:b/>
        </w:rPr>
        <w:t xml:space="preserve">Banker</w:t>
      </w:r>
      <w:r>
        <w:t xml:space="preserve"> </w:t>
      </w:r>
      <w:r>
        <w:t xml:space="preserve">not merely as a financial provider, but as an indispensable partner in Abu Dhabi's economic journey. By embedding our services within the cultural and operational fabric of the United Arab Emirates, we transcend traditional banking to become the catalyst for financial empowerment across Abu Dhabi. The plan's success hinges on unwavering commitment to local context—where every campaign, product feature, and community initiative reflects deep understanding of Abu Dhabi's unique market dynamics. As</w:t>
      </w:r>
      <w:r>
        <w:t xml:space="preserve"> </w:t>
      </w:r>
      <w:r>
        <w:rPr>
          <w:bCs/>
          <w:b/>
        </w:rPr>
        <w:t xml:space="preserve">Banker</w:t>
      </w:r>
      <w:r>
        <w:t xml:space="preserve"> </w:t>
      </w:r>
      <w:r>
        <w:t xml:space="preserve">grows its footprint in United Arab Emirates Abu Dhabi, we don't just offer banking services; we build financial futures rooted in Emirati identity and global ambition.</w:t>
      </w:r>
    </w:p>
    <w:p>
      <w:pPr>
        <w:pStyle w:val="BodyText"/>
      </w:pPr>
      <w:r>
        <w:rPr>
          <w:iCs/>
          <w:i/>
        </w:rPr>
        <w:t xml:space="preserve">This Marketing Plan aligns with UAE Vision 2030 and Central Bank of UAE's digital transformation goals, ensuring sustainable growth while serving the United Arab Emirates Abu Dhabi community with precision.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Banker: Abu Dhabi Strategy</dc:title>
  <dc:creator/>
  <dc:language>en</dc:language>
  <cp:keywords/>
  <dcterms:created xsi:type="dcterms:W3CDTF">2026-07-24T07:54:58Z</dcterms:created>
  <dcterms:modified xsi:type="dcterms:W3CDTF">2026-07-24T07:54:58Z</dcterms:modified>
</cp:coreProperties>
</file>

<file path=docProps/custom.xml><?xml version="1.0" encoding="utf-8"?>
<Properties xmlns="http://schemas.openxmlformats.org/officeDocument/2006/custom-properties" xmlns:vt="http://schemas.openxmlformats.org/officeDocument/2006/docPropsVTypes"/>
</file>