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Dubai,</w:t>
      </w:r>
      <w:r>
        <w:t xml:space="preserve"> </w:t>
      </w:r>
      <w:r>
        <w:t xml:space="preserve">UAE</w:t>
      </w:r>
    </w:p>
    <w:bookmarkStart w:id="32" w:name="X713097ac8b2a6e59f57be2c70c8e718bfaf3da1"/>
    <w:p>
      <w:pPr>
        <w:pStyle w:val="Heading1"/>
      </w:pPr>
      <w:r>
        <w:t xml:space="preserve">Strategic Marketing Plan for "Banker": Revolutionizing Digital Banking in United Arab Emirates Dubai</w:t>
      </w:r>
    </w:p>
    <w:p>
      <w:pPr>
        <w:pStyle w:val="FirstParagraph"/>
      </w:pPr>
      <w:r>
        <w:rPr>
          <w:bCs/>
          <w:b/>
        </w:rPr>
        <w:t xml:space="preserve">Executive Summary:</w:t>
      </w:r>
    </w:p>
    <w:p>
      <w:pPr>
        <w:pStyle w:val="BodyText"/>
      </w:pPr>
      <w:r>
        <w:t xml:space="preserve">This comprehensive Marketing Plan outlines the strategic roadmap for launching and scaling "Banker," a cutting-edge digital banking platform specifically designed for the dynamic financial landscape of Dubai, United Arab Emirates. Targeting both individual consumers and SMEs across the United Arab Emirates Dubai region, this plan leverages local market insights to establish Banker as the premier choice for seamless, secure, and culturally attuned banking experiences. With a focus on mobile-first innovation and hyper-localized service delivery, Banker will address critical gaps in UAE's digital banking ecosystem while aligning with Dubai's vision for financial technology leadership.</w:t>
      </w:r>
    </w:p>
    <w:bookmarkStart w:id="20" w:name="X76be884dc42991e8339e2f070b632769625ac12"/>
    <w:p>
      <w:pPr>
        <w:pStyle w:val="Heading2"/>
      </w:pPr>
      <w:r>
        <w:t xml:space="preserve">1. Market Analysis: United Arab Emirates Dubai Context</w:t>
      </w:r>
    </w:p>
    <w:p>
      <w:pPr>
        <w:pStyle w:val="FirstParagraph"/>
      </w:pPr>
      <w:r>
        <w:t xml:space="preserve">Dubai’s financial sector is experiencing unprecedented growth, driven by the UAE government’s Vision 2030 initiative and Dubai International Financial Centre (DIFC)’s status as a global fintech hub. With over 75% of UAE residents using mobile banking apps (Central Bank of UAE, 2023), the demand for intuitive, Arabic-English bilingual digital platforms is surging. However, current solutions lack cultural nuance—most foreign-owned banks fail to integrate Islamic finance options or Dubai-specific payment corridors. The United Arab Emirates Dubai market presents a $12.4 billion digital banking opportunity (Statista 2024), yet 68% of SMEs cite "complex onboarding processes" as a key barrier (Dubai Chamber of Commerce). Banker’s localized approach directly addresses these unmet needs.</w:t>
      </w:r>
    </w:p>
    <w:bookmarkEnd w:id="20"/>
    <w:bookmarkStart w:id="21" w:name="target-audience-segmentation"/>
    <w:p>
      <w:pPr>
        <w:pStyle w:val="Heading2"/>
      </w:pPr>
      <w:r>
        <w:t xml:space="preserve">2. Target Audience Segmentation</w:t>
      </w:r>
    </w:p>
    <w:p>
      <w:pPr>
        <w:pStyle w:val="FirstParagraph"/>
      </w:pPr>
      <w:r>
        <w:rPr>
          <w:bCs/>
          <w:b/>
        </w:rPr>
        <w:t xml:space="preserve">Primary: Digital-Native Residents (Ages 25-45)</w:t>
      </w:r>
    </w:p>
    <w:p>
      <w:pPr>
        <w:numPr>
          <w:ilvl w:val="0"/>
          <w:numId w:val="1001"/>
        </w:numPr>
        <w:pStyle w:val="Compact"/>
      </w:pPr>
      <w:r>
        <w:t xml:space="preserve">Expatriate professionals working in Dubai’s corporate hubs (DIFC, Dubai International Airport Free Zone)</w:t>
      </w:r>
    </w:p>
    <w:p>
      <w:pPr>
        <w:numPr>
          <w:ilvl w:val="0"/>
          <w:numId w:val="1001"/>
        </w:numPr>
        <w:pStyle w:val="Compact"/>
      </w:pPr>
      <w:r>
        <w:t xml:space="preserve">Youthful Emirati entrepreneurs seeking streamlined business banking</w:t>
      </w:r>
    </w:p>
    <w:p>
      <w:pPr>
        <w:numPr>
          <w:ilvl w:val="0"/>
          <w:numId w:val="1001"/>
        </w:numPr>
        <w:pStyle w:val="Compact"/>
      </w:pPr>
      <w:r>
        <w:t xml:space="preserve">High-income individuals valuing time-saving solutions over physical branches</w:t>
      </w:r>
    </w:p>
    <w:p>
      <w:pPr>
        <w:pStyle w:val="FirstParagraph"/>
      </w:pPr>
      <w:r>
        <w:rPr>
          <w:bCs/>
          <w:b/>
        </w:rPr>
        <w:t xml:space="preserve">Secondary: SMEs &amp; Micro-Entrepreneurs in Dubai</w:t>
      </w:r>
    </w:p>
    <w:p>
      <w:pPr>
        <w:numPr>
          <w:ilvl w:val="0"/>
          <w:numId w:val="1002"/>
        </w:numPr>
        <w:pStyle w:val="Compact"/>
      </w:pPr>
      <w:r>
        <w:t xml:space="preserve">Dubai-based startups requiring instant FX services for global trade</w:t>
      </w:r>
    </w:p>
    <w:p>
      <w:pPr>
        <w:numPr>
          <w:ilvl w:val="0"/>
          <w:numId w:val="1002"/>
        </w:numPr>
        <w:pStyle w:val="Compact"/>
      </w:pPr>
      <w:r>
        <w:t xml:space="preserve">Local businesses needing integrated invoicing with UAE tax (VAT) compliance</w:t>
      </w:r>
    </w:p>
    <w:p>
      <w:pPr>
        <w:numPr>
          <w:ilvl w:val="0"/>
          <w:numId w:val="1002"/>
        </w:numPr>
        <w:pStyle w:val="Compact"/>
      </w:pPr>
      <w:r>
        <w:t xml:space="preserve">Tourism/hospitality SMEs managing multi-currency transactions</w:t>
      </w:r>
    </w:p>
    <w:p>
      <w:pPr>
        <w:pStyle w:val="FirstParagraph"/>
      </w:pPr>
      <w:r>
        <w:t xml:space="preserve">Cultural Insight: 72% of Dubai residents prefer Arabic communication for financial services (UAE Marketing Survey, 2023), yet only 38% of current apps offer full bilingual support. Banker will embed Arabic-first UX design and culturally resonant customer service.</w:t>
      </w:r>
    </w:p>
    <w:bookmarkEnd w:id="21"/>
    <w:bookmarkStart w:id="22" w:name="unique-value-proposition"/>
    <w:p>
      <w:pPr>
        <w:pStyle w:val="Heading2"/>
      </w:pPr>
      <w:r>
        <w:t xml:space="preserve">3. Unique Value Proposition</w:t>
      </w:r>
    </w:p>
    <w:p>
      <w:pPr>
        <w:pStyle w:val="FirstParagraph"/>
      </w:pPr>
      <w:r>
        <w:t xml:space="preserve">"Banker" redefines UAE digital banking by offering:</w:t>
      </w:r>
    </w:p>
    <w:p>
      <w:pPr>
        <w:numPr>
          <w:ilvl w:val="0"/>
          <w:numId w:val="1003"/>
        </w:numPr>
        <w:pStyle w:val="Compact"/>
      </w:pPr>
      <w:r>
        <w:rPr>
          <w:bCs/>
          <w:b/>
        </w:rPr>
        <w:t xml:space="preserve">Culture-Integrated Platform:</w:t>
      </w:r>
      <w:r>
        <w:t xml:space="preserve"> </w:t>
      </w:r>
      <w:r>
        <w:t xml:space="preserve">Fully Arabic/English interface with Dubai-specific features (e.g., Ramadan-friendly transaction alerts, Eid cash flow tools)</w:t>
      </w:r>
    </w:p>
    <w:p>
      <w:pPr>
        <w:numPr>
          <w:ilvl w:val="0"/>
          <w:numId w:val="1003"/>
        </w:numPr>
        <w:pStyle w:val="Compact"/>
      </w:pPr>
      <w:r>
        <w:rPr>
          <w:bCs/>
          <w:b/>
        </w:rPr>
        <w:t xml:space="preserve">Instant SME Solutions:</w:t>
      </w:r>
      <w:r>
        <w:t xml:space="preserve"> </w:t>
      </w:r>
      <w:r>
        <w:t xml:space="preserve">AI-powered business account setup in under 15 minutes with VAT-compliant invoicing</w:t>
      </w:r>
    </w:p>
    <w:p>
      <w:pPr>
        <w:numPr>
          <w:ilvl w:val="0"/>
          <w:numId w:val="1003"/>
        </w:numPr>
        <w:pStyle w:val="Compact"/>
      </w:pPr>
      <w:r>
        <w:rPr>
          <w:bCs/>
          <w:b/>
        </w:rPr>
        <w:t xml:space="preserve">Dubai-Focused Financial Ecosystem:</w:t>
      </w:r>
      <w:r>
        <w:t xml:space="preserve"> </w:t>
      </w:r>
      <w:r>
        <w:t xml:space="preserve">Direct integration with Dubai’s Smart Payment Network, including Easypay and Tabby for seamless local transactions</w:t>
      </w:r>
    </w:p>
    <w:bookmarkEnd w:id="22"/>
    <w:bookmarkStart w:id="27" w:name="Xa811f0dae4347d8529bca9d461bfd1be42527b3"/>
    <w:p>
      <w:pPr>
        <w:pStyle w:val="Heading2"/>
      </w:pPr>
      <w:r>
        <w:t xml:space="preserve">4. Marketing Strategy: 4P Framework for United Arab Emirates Dubai</w:t>
      </w:r>
    </w:p>
    <w:bookmarkStart w:id="23" w:name="product-p-banker-core-offerings"/>
    <w:p>
      <w:pPr>
        <w:pStyle w:val="Heading3"/>
      </w:pPr>
      <w:r>
        <w:t xml:space="preserve">Product (P): Banker Core Offerings</w:t>
      </w:r>
    </w:p>
    <w:p>
      <w:pPr>
        <w:pStyle w:val="FirstParagraph"/>
      </w:pPr>
      <w:r>
        <w:t xml:space="preserve">Built natively for UAE regulations with DIFC licensing, Banker includes:</w:t>
      </w:r>
    </w:p>
    <w:p>
      <w:pPr>
        <w:numPr>
          <w:ilvl w:val="0"/>
          <w:numId w:val="1004"/>
        </w:numPr>
        <w:pStyle w:val="Compact"/>
      </w:pPr>
      <w:r>
        <w:t xml:space="preserve">Islamic finance-compliant savings accounts (without interest)</w:t>
      </w:r>
    </w:p>
    <w:p>
      <w:pPr>
        <w:numPr>
          <w:ilvl w:val="0"/>
          <w:numId w:val="1004"/>
        </w:numPr>
        <w:pStyle w:val="Compact"/>
      </w:pPr>
      <w:r>
        <w:t xml:space="preserve">Dubai-specific bill payments (Dubai Electricity, Etisalat)</w:t>
      </w:r>
    </w:p>
    <w:p>
      <w:pPr>
        <w:numPr>
          <w:ilvl w:val="0"/>
          <w:numId w:val="1004"/>
        </w:numPr>
        <w:pStyle w:val="Compact"/>
      </w:pPr>
      <w:r>
        <w:t xml:space="preserve">Real-time GCC currency conversion at competitive rates</w:t>
      </w:r>
    </w:p>
    <w:bookmarkEnd w:id="23"/>
    <w:bookmarkStart w:id="24" w:name="pricing-p-value-based-strategy"/>
    <w:p>
      <w:pPr>
        <w:pStyle w:val="Heading3"/>
      </w:pPr>
      <w:r>
        <w:t xml:space="preserve">Pricing (P): Value-Based Strategy</w:t>
      </w:r>
    </w:p>
    <w:p>
      <w:pPr>
        <w:pStyle w:val="FirstParagraph"/>
      </w:pPr>
      <w:r>
        <w:t xml:space="preserve">Competitive fee structure tailored for Dubai’s market:</w:t>
      </w:r>
    </w:p>
    <w:p>
      <w:pPr>
        <w:numPr>
          <w:ilvl w:val="0"/>
          <w:numId w:val="1005"/>
        </w:numPr>
        <w:pStyle w:val="Compact"/>
      </w:pPr>
      <w:r>
        <w:t xml:space="preserve">Zero account maintenance fees for balances above AED 5,000</w:t>
      </w:r>
    </w:p>
    <w:p>
      <w:pPr>
        <w:numPr>
          <w:ilvl w:val="0"/>
          <w:numId w:val="1005"/>
        </w:numPr>
        <w:pStyle w:val="Compact"/>
      </w:pPr>
      <w:r>
        <w:t xml:space="preserve">AED 1.5 per international transfer to GCC countries (vs. industry average AED 4-8)</w:t>
      </w:r>
    </w:p>
    <w:p>
      <w:pPr>
        <w:numPr>
          <w:ilvl w:val="0"/>
          <w:numId w:val="1005"/>
        </w:numPr>
        <w:pStyle w:val="Compact"/>
      </w:pPr>
      <w:r>
        <w:t xml:space="preserve">Free SME business accounts with integrated GST/VAT tools</w:t>
      </w:r>
    </w:p>
    <w:bookmarkEnd w:id="24"/>
    <w:bookmarkStart w:id="25" w:name="place-p-distribution-in-dubai"/>
    <w:p>
      <w:pPr>
        <w:pStyle w:val="Heading3"/>
      </w:pPr>
      <w:r>
        <w:t xml:space="preserve">Place (P): Distribution in Dubai</w:t>
      </w:r>
    </w:p>
    <w:p>
      <w:pPr>
        <w:pStyle w:val="FirstParagraph"/>
      </w:pPr>
      <w:r>
        <w:t xml:space="preserve">Beyond digital channels, Banker establishes physical touchpoints within key Dubai locations:</w:t>
      </w:r>
    </w:p>
    <w:p>
      <w:pPr>
        <w:numPr>
          <w:ilvl w:val="0"/>
          <w:numId w:val="1006"/>
        </w:numPr>
        <w:pStyle w:val="Compact"/>
      </w:pPr>
      <w:r>
        <w:t xml:space="preserve">Limited-service "Banker Hubs" in Jumeirah Lakes Towers and Business Bay (2024 Q3)</w:t>
      </w:r>
    </w:p>
    <w:p>
      <w:pPr>
        <w:numPr>
          <w:ilvl w:val="0"/>
          <w:numId w:val="1006"/>
        </w:numPr>
        <w:pStyle w:val="Compact"/>
      </w:pPr>
      <w:r>
        <w:t xml:space="preserve">Partnerships with Dubai Mall retailers for instant card issuance</w:t>
      </w:r>
    </w:p>
    <w:p>
      <w:pPr>
        <w:numPr>
          <w:ilvl w:val="0"/>
          <w:numId w:val="1006"/>
        </w:numPr>
        <w:pStyle w:val="Compact"/>
      </w:pPr>
      <w:r>
        <w:t xml:space="preserve">Integration with Dubai Government’s "Smart Dubai" platform for document verification</w:t>
      </w:r>
    </w:p>
    <w:bookmarkEnd w:id="25"/>
    <w:bookmarkStart w:id="26" w:name="promotion-p-hyper-localized-campaigns"/>
    <w:p>
      <w:pPr>
        <w:pStyle w:val="Heading3"/>
      </w:pPr>
      <w:r>
        <w:t xml:space="preserve">Promotion (P): Hyper-Localized Campaigns</w:t>
      </w:r>
    </w:p>
    <w:p>
      <w:pPr>
        <w:pStyle w:val="FirstParagraph"/>
      </w:pPr>
      <w:r>
        <w:t xml:space="preserve">Targeted activations across UAE digital and physical spaces:</w:t>
      </w:r>
    </w:p>
    <w:p>
      <w:pPr>
        <w:numPr>
          <w:ilvl w:val="0"/>
          <w:numId w:val="1007"/>
        </w:numPr>
        <w:pStyle w:val="Compact"/>
      </w:pPr>
      <w:r>
        <w:rPr>
          <w:bCs/>
          <w:b/>
        </w:rPr>
        <w:t xml:space="preserve">Community Events:</w:t>
      </w:r>
      <w:r>
        <w:t xml:space="preserve"> </w:t>
      </w:r>
      <w:r>
        <w:t xml:space="preserve">Sponsor Dubai Fitness Challenge, collaborate with Dubai Duty Free for exclusive rewards</w:t>
      </w:r>
    </w:p>
    <w:p>
      <w:pPr>
        <w:numPr>
          <w:ilvl w:val="0"/>
          <w:numId w:val="1007"/>
        </w:numPr>
        <w:pStyle w:val="Compact"/>
      </w:pPr>
      <w:r>
        <w:rPr>
          <w:bCs/>
          <w:b/>
        </w:rPr>
        <w:t xml:space="preserve">Digital Blitz:</w:t>
      </w:r>
      <w:r>
        <w:t xml:space="preserve"> </w:t>
      </w:r>
      <w:r>
        <w:t xml:space="preserve">Geo-targeted Instagram/TikTok campaigns featuring local influencers (e.g., Dubai-based financial experts)</w:t>
      </w:r>
    </w:p>
    <w:p>
      <w:pPr>
        <w:numPr>
          <w:ilvl w:val="0"/>
          <w:numId w:val="1007"/>
        </w:numPr>
        <w:pStyle w:val="Compact"/>
      </w:pPr>
      <w:r>
        <w:rPr>
          <w:bCs/>
          <w:b/>
        </w:rPr>
        <w:t xml:space="preserve">B2B Partnerships:</w:t>
      </w:r>
      <w:r>
        <w:t xml:space="preserve"> </w:t>
      </w:r>
      <w:r>
        <w:t xml:space="preserve">Co-branded SME workshops with Dubai Chamber of Commerce, offering free "Banker Onboarding" sessions</w:t>
      </w:r>
    </w:p>
    <w:bookmarkEnd w:id="26"/>
    <w:bookmarkEnd w:id="27"/>
    <w:bookmarkStart w:id="28" w:name="Xd7fc88444fc0208228fc7e481114ab991e06383"/>
    <w:p>
      <w:pPr>
        <w:pStyle w:val="Heading2"/>
      </w:pPr>
      <w:r>
        <w:t xml:space="preserve">5. Implementation Timeline: United Arab Emirates Dubai Launch</w:t>
      </w:r>
    </w:p>
    <w:p>
      <w:pPr>
        <w:pStyle w:val="FirstParagraph"/>
      </w:pPr>
      <w:r>
        <w:rPr>
          <w:bCs/>
          <w:b/>
        </w:rPr>
        <w:t xml:space="preserve">Q4 2024 (Foundation):</w:t>
      </w:r>
      <w:r>
        <w:t xml:space="preserve"> </w:t>
      </w:r>
      <w:r>
        <w:t xml:space="preserve">Regulatory approvals through DIFC; beta launch targeting 10,000 Dubai residents via referral program.</w:t>
      </w:r>
    </w:p>
    <w:p>
      <w:pPr>
        <w:pStyle w:val="BodyText"/>
      </w:pPr>
      <w:r>
        <w:rPr>
          <w:bCs/>
          <w:b/>
        </w:rPr>
        <w:t xml:space="preserve">Q1 2025 (Scale):</w:t>
      </w:r>
      <w:r>
        <w:t xml:space="preserve"> </w:t>
      </w:r>
      <w:r>
        <w:t xml:space="preserve">Full market launch with Dubai-specific features; partnerships with Emirates NBD and Mashreq for interoperability.</w:t>
      </w:r>
    </w:p>
    <w:p>
      <w:pPr>
        <w:pStyle w:val="BodyText"/>
      </w:pPr>
      <w:r>
        <w:rPr>
          <w:bCs/>
          <w:b/>
        </w:rPr>
        <w:t xml:space="preserve">Q3 2025 (Dominance):</w:t>
      </w:r>
      <w:r>
        <w:t xml:space="preserve"> </w:t>
      </w:r>
      <w:r>
        <w:t xml:space="preserve">Expansion to all UAE emirates following Dubai success; launch "Banker for SMEs" suite.</w:t>
      </w:r>
    </w:p>
    <w:bookmarkEnd w:id="28"/>
    <w:bookmarkStart w:id="29" w:name="X512e9be6421a2689462971c5b354260f6ec87c3"/>
    <w:p>
      <w:pPr>
        <w:pStyle w:val="Heading2"/>
      </w:pPr>
      <w:r>
        <w:t xml:space="preserve">6. Budget Allocation: Dubai-Focused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(AED)</w:t>
            </w:r>
          </w:p>
        </w:tc>
        <w:tc>
          <w:tcPr/>
          <w:p>
            <w:pPr>
              <w:pStyle w:val="Compact"/>
              <w:jc w:val="left"/>
            </w:pPr>
            <w:r>
              <w:t xml:space="preserve">Rationale for Dubai Market</w:t>
            </w:r>
          </w:p>
        </w:tc>
      </w:tr>
      <w:tr>
        <w:tc>
          <w:tcPr/>
          <w:p>
            <w:pPr>
              <w:pStyle w:val="Compact"/>
              <w:jc w:val="left"/>
            </w:pPr>
            <w:r>
              <w:t xml:space="preserve">Digital Advertising (Meta/Google)</w:t>
            </w:r>
          </w:p>
        </w:tc>
        <w:tc>
          <w:tcPr/>
          <w:p>
            <w:pPr>
              <w:pStyle w:val="Compact"/>
              <w:jc w:val="left"/>
            </w:pPr>
            <w:r>
              <w:t xml:space="preserve">4,200,000</w:t>
            </w:r>
          </w:p>
        </w:tc>
        <w:tc>
          <w:tcPr/>
          <w:p>
            <w:pPr>
              <w:pStyle w:val="Compact"/>
              <w:jc w:val="left"/>
            </w:pPr>
            <w:r>
              <w:t xml:space="preserve">Tailored to Dubai’s high smartphone penetration (98%) and social media usage patterns</w:t>
            </w:r>
          </w:p>
        </w:tc>
      </w:tr>
      <w:tr>
        <w:tc>
          <w:tcPr/>
          <w:p>
            <w:pPr>
              <w:pStyle w:val="Compact"/>
              <w:jc w:val="left"/>
            </w:pPr>
            <w:r>
              <w:t xml:space="preserve">Local Event Sponsorships</w:t>
            </w:r>
          </w:p>
        </w:tc>
        <w:tc>
          <w:tcPr/>
          <w:p>
            <w:pPr>
              <w:pStyle w:val="Compact"/>
              <w:jc w:val="left"/>
            </w:pPr>
            <w:r>
              <w:t xml:space="preserve">1,850,000</w:t>
            </w:r>
          </w:p>
        </w:tc>
        <w:tc>
          <w:tcPr/>
          <w:p>
            <w:pPr>
              <w:pStyle w:val="Compact"/>
              <w:jc w:val="left"/>
            </w:pPr>
            <w:r>
              <w:t xml:space="preserve">Targeting Dubai events where key demographics congregate (e.g., GITEX, Dubai Shopping Festival)</w:t>
            </w:r>
          </w:p>
        </w:tc>
      </w:tr>
      <w:tr>
        <w:tc>
          <w:tcPr/>
          <w:p>
            <w:pPr>
              <w:pStyle w:val="Compact"/>
              <w:jc w:val="left"/>
            </w:pPr>
            <w:r>
              <w:t xml:space="preserve">SME Partnership Development</w:t>
            </w:r>
          </w:p>
        </w:tc>
        <w:tc>
          <w:tcPr/>
          <w:p>
            <w:pPr>
              <w:pStyle w:val="Compact"/>
              <w:jc w:val="left"/>
            </w:pPr>
            <w:r>
              <w:t xml:space="preserve">2,300,000</w:t>
            </w:r>
          </w:p>
        </w:tc>
        <w:tc>
          <w:tcPr/>
          <w:p>
            <w:pPr>
              <w:pStyle w:val="Compact"/>
              <w:jc w:val="left"/>
            </w:pPr>
            <w:r>
              <w:t xml:space="preserve">Critical for penetrating Dubai’s 56% SME-driven economy</w:t>
            </w:r>
          </w:p>
        </w:tc>
      </w:tr>
      <w:tr>
        <w:tc>
          <w:tcPr/>
          <w:p>
            <w:pPr>
              <w:pStyle w:val="Compact"/>
              <w:jc w:val="left"/>
            </w:pPr>
            <w:r>
              <w:t xml:space="preserve">Localized Content Creation (Arabic)</w:t>
            </w:r>
          </w:p>
        </w:tc>
        <w:tc>
          <w:tcPr/>
          <w:p>
            <w:pPr>
              <w:pStyle w:val="Compact"/>
              <w:jc w:val="left"/>
            </w:pPr>
            <w:r>
              <w:t xml:space="preserve">1,150,000</w:t>
            </w:r>
          </w:p>
        </w:tc>
        <w:tc>
          <w:tcPr/>
          <w:p>
            <w:pPr>
              <w:pStyle w:val="Compact"/>
              <w:jc w:val="left"/>
            </w:pPr>
            <w:r>
              <w:t xml:space="preserve">Mandate for cultural resonance in UAE market; outperforms generic English content by 3x in engagement</w:t>
            </w:r>
          </w:p>
        </w:tc>
      </w:tr>
    </w:tbl>
    <w:bookmarkEnd w:id="29"/>
    <w:bookmarkStart w:id="30" w:name="key-performance-indicators-kpis"/>
    <w:p>
      <w:pPr>
        <w:pStyle w:val="Heading2"/>
      </w:pPr>
      <w:r>
        <w:t xml:space="preserve">7. Key Performance Indicators (KPIs)</w:t>
      </w:r>
    </w:p>
    <w:p>
      <w:pPr>
        <w:pStyle w:val="FirstParagraph"/>
      </w:pPr>
      <w:r>
        <w:t xml:space="preserve">Measuring success within United Arab Emirates Dubai context:</w:t>
      </w:r>
    </w:p>
    <w:p>
      <w:pPr>
        <w:numPr>
          <w:ilvl w:val="0"/>
          <w:numId w:val="1008"/>
        </w:numPr>
        <w:pStyle w:val="Compact"/>
      </w:pPr>
      <w:r>
        <w:rPr>
          <w:bCs/>
          <w:b/>
        </w:rPr>
        <w:t xml:space="preserve">Customer Acquisition Cost (CAC):</w:t>
      </w:r>
      <w:r>
        <w:t xml:space="preserve"> </w:t>
      </w:r>
      <w:r>
        <w:t xml:space="preserve">Target AED 85 per user (vs. industry average AED 140 in UAE)</w:t>
      </w:r>
    </w:p>
    <w:p>
      <w:pPr>
        <w:numPr>
          <w:ilvl w:val="0"/>
          <w:numId w:val="1008"/>
        </w:numPr>
        <w:pStyle w:val="Compact"/>
      </w:pPr>
      <w:r>
        <w:rPr>
          <w:bCs/>
          <w:b/>
        </w:rPr>
        <w:t xml:space="preserve">Dubai Market Share:</w:t>
      </w:r>
      <w:r>
        <w:t xml:space="preserve"> </w:t>
      </w:r>
      <w:r>
        <w:t xml:space="preserve">Achieve 12% penetration among digital banking users in Dubai within 18 months</w:t>
      </w:r>
    </w:p>
    <w:p>
      <w:pPr>
        <w:numPr>
          <w:ilvl w:val="0"/>
          <w:numId w:val="1008"/>
        </w:numPr>
        <w:pStyle w:val="Compact"/>
      </w:pPr>
      <w:r>
        <w:rPr>
          <w:bCs/>
          <w:b/>
        </w:rPr>
        <w:t xml:space="preserve">SME Adoption Rate:</w:t>
      </w:r>
      <w:r>
        <w:t xml:space="preserve"> </w:t>
      </w:r>
      <w:r>
        <w:t xml:space="preserve">Onboard 5,000 Dubai-based businesses by Q3 2025</w:t>
      </w:r>
    </w:p>
    <w:bookmarkEnd w:id="30"/>
    <w:bookmarkStart w:id="31" w:name="X002721cbb6626667509e0bd3c1efd58fb0e0273"/>
    <w:p>
      <w:pPr>
        <w:pStyle w:val="Heading2"/>
      </w:pPr>
      <w:r>
        <w:t xml:space="preserve">8. Competitive Differentiation: Why Banker Wins in Dubai</w:t>
      </w:r>
    </w:p>
    <w:p>
      <w:pPr>
        <w:pStyle w:val="FirstParagraph"/>
      </w:pPr>
      <w:r>
        <w:t xml:space="preserve">While global banks like HSBC UAE offer digital services, they lack cultural depth. Banker’s edge lies in:</w:t>
      </w:r>
    </w:p>
    <w:p>
      <w:pPr>
        <w:numPr>
          <w:ilvl w:val="0"/>
          <w:numId w:val="1009"/>
        </w:numPr>
        <w:pStyle w:val="Compact"/>
      </w:pPr>
      <w:r>
        <w:rPr>
          <w:bCs/>
          <w:b/>
        </w:rPr>
        <w:t xml:space="preserve">Regulatory Mastery:</w:t>
      </w:r>
      <w:r>
        <w:t xml:space="preserve"> </w:t>
      </w:r>
      <w:r>
        <w:t xml:space="preserve">Fully compliant with UAE Central Bank’s new Digital Banking Framework (2023)</w:t>
      </w:r>
    </w:p>
    <w:p>
      <w:pPr>
        <w:numPr>
          <w:ilvl w:val="0"/>
          <w:numId w:val="1009"/>
        </w:numPr>
        <w:pStyle w:val="Compact"/>
      </w:pPr>
      <w:r>
        <w:rPr>
          <w:bCs/>
          <w:b/>
        </w:rPr>
        <w:t xml:space="preserve">Dubai-Centric Features:</w:t>
      </w:r>
      <w:r>
        <w:t xml:space="preserve"> </w:t>
      </w:r>
      <w:r>
        <w:t xml:space="preserve">Includes "Dubai Mall Loyalty" integration for instant cashback at key locations</w:t>
      </w:r>
    </w:p>
    <w:p>
      <w:pPr>
        <w:numPr>
          <w:ilvl w:val="0"/>
          <w:numId w:val="1009"/>
        </w:numPr>
        <w:pStyle w:val="Compact"/>
      </w:pPr>
      <w:r>
        <w:rPr>
          <w:bCs/>
          <w:b/>
        </w:rPr>
        <w:t xml:space="preserve">Community Trust:</w:t>
      </w:r>
      <w:r>
        <w:t xml:space="preserve"> </w:t>
      </w:r>
      <w:r>
        <w:t xml:space="preserve">Partnering with Dubai Police for fraud prevention education, addressing UAE’s top consumer concern (42% of users cite security as primary barrier)</w:t>
      </w:r>
    </w:p>
    <w:p>
      <w:pPr>
        <w:pStyle w:val="FirstParagraph"/>
      </w:pPr>
      <w:r>
        <w:rPr>
          <w:bCs/>
          <w:b/>
        </w:rPr>
        <w:t xml:space="preserve">Conclusion:</w:t>
      </w:r>
    </w:p>
    <w:p>
      <w:pPr>
        <w:pStyle w:val="BodyText"/>
      </w:pPr>
      <w:r>
        <w:t xml:space="preserve">This Marketing Plan positions Banker not merely as a banking app, but as an indispensable digital partner for life and business in Dubai. By embedding itself within the cultural fabric of the United Arab Emirates Dubai community—through localized language, culturally sensitive features, and strategic community integration—Banker will capture market leadership while advancing Dubai’s ambition to be a global fintech capital. The roadmap prioritizes sustainable growth through customer trust, ensuring Banker becomes synonymous with forward-thinking finance in one of the world’s most dynamic urban economies.</w:t>
      </w:r>
    </w:p>
    <w:p>
      <w:pPr>
        <w:pStyle w:val="BodyText"/>
      </w:pPr>
      <w:r>
        <w:rPr>
          <w:iCs/>
          <w:i/>
        </w:rPr>
        <w:t xml:space="preserve">Banker: Banking Reimagined for Dubai, United Arab Emirates.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Dubai, UAE</dc:title>
  <dc:creator/>
  <dc:language>en</dc:language>
  <cp:keywords/>
  <dcterms:created xsi:type="dcterms:W3CDTF">2026-07-24T06:10:02Z</dcterms:created>
  <dcterms:modified xsi:type="dcterms:W3CDTF">2026-07-24T06:10:02Z</dcterms:modified>
</cp:coreProperties>
</file>

<file path=docProps/custom.xml><?xml version="1.0" encoding="utf-8"?>
<Properties xmlns="http://schemas.openxmlformats.org/officeDocument/2006/custom-properties" xmlns:vt="http://schemas.openxmlformats.org/officeDocument/2006/docPropsVTypes"/>
</file>