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Birmingham,</w:t>
      </w:r>
      <w:r>
        <w:t xml:space="preserve"> </w:t>
      </w:r>
      <w:r>
        <w:t xml:space="preserve">United</w:t>
      </w:r>
      <w:r>
        <w:t xml:space="preserve"> </w:t>
      </w:r>
      <w:r>
        <w:t xml:space="preserve">Kingdom</w:t>
      </w:r>
    </w:p>
    <w:bookmarkStart w:id="29" w:name="X65f3ebfd73e6253aadeb133e6f92e3c6022abab"/>
    <w:p>
      <w:pPr>
        <w:pStyle w:val="Heading1"/>
      </w:pPr>
      <w:r>
        <w:t xml:space="preserve">Marketing Plan for Banker: Revolutionizing Financial Services in United Kingdom Birmingham</w:t>
      </w:r>
    </w:p>
    <w:bookmarkStart w:id="20" w:name="executive-summary"/>
    <w:p>
      <w:pPr>
        <w:pStyle w:val="Heading2"/>
      </w:pPr>
      <w:r>
        <w:t xml:space="preserve">Executive Summary</w:t>
      </w:r>
    </w:p>
    <w:p>
      <w:pPr>
        <w:pStyle w:val="FirstParagraph"/>
      </w:pPr>
      <w:r>
        <w:t xml:space="preserve">This comprehensive Marketing Plan outlines the strategic roadmap for "Banker," a cutting-edge financial services provider designed specifically to meet the evolving needs of residents and businesses across Birmingham, United Kingdom. As the second-largest city in England and a vibrant economic hub with over 1.2 million inhabitants, Birmingham presents unique opportunities for a localized banking solution that prioritizes accessibility, community engagement, and tailored financial products. This plan details how Banker will establish itself as the trusted financial partner for Birmingham residents and SMEs through hyperlocal marketing strategies, community-centric offerings, and digital innovation aligned with the city's dynamic landscape.</w:t>
      </w:r>
    </w:p>
    <w:bookmarkEnd w:id="20"/>
    <w:bookmarkStart w:id="21" w:name="market-analysis-birmingham-context"/>
    <w:p>
      <w:pPr>
        <w:pStyle w:val="Heading2"/>
      </w:pPr>
      <w:r>
        <w:t xml:space="preserve">Market Analysis: Birmingham Context</w:t>
      </w:r>
    </w:p>
    <w:p>
      <w:pPr>
        <w:pStyle w:val="FirstParagraph"/>
      </w:pPr>
      <w:r>
        <w:t xml:space="preserve">Birmingham’s economic ecosystem is characterized by a diverse mix of industries including advanced manufacturing, digital technology (e.g., Edgbaston Tech District), creative sectors, and a thriving SME community representing over 30% of the city’s economy. However, traditional banking institutions often fail to address specific local challenges: high SME loan rejection rates (78% according to Birmingham Chamber of Commerce 2023), limited branch accessibility in outer wards like Erdington and Perry Barr, and a lack of culturally attuned financial advice for Birmingham’s multi-ethnic population (41% non-white residents). The United Kingdom banking sector has seen growing demand for community-focused alternatives, particularly post-pandemic. Banker will directly target these gaps within Birmingham's unique socio-economic fabric.</w:t>
      </w:r>
    </w:p>
    <w:bookmarkEnd w:id="21"/>
    <w:bookmarkStart w:id="22" w:name="marketing-objectives-birmingham-centric"/>
    <w:p>
      <w:pPr>
        <w:pStyle w:val="Heading2"/>
      </w:pPr>
      <w:r>
        <w:t xml:space="preserve">Marketing Objectives: Birmingham-Centric</w:t>
      </w:r>
    </w:p>
    <w:p>
      <w:pPr>
        <w:pStyle w:val="FirstParagraph"/>
      </w:pPr>
      <w:r>
        <w:t xml:space="preserve">Within the first 18 months of launch in United Kingdom Birmingham, Banker aims to:</w:t>
      </w:r>
    </w:p>
    <w:p>
      <w:pPr>
        <w:numPr>
          <w:ilvl w:val="0"/>
          <w:numId w:val="1001"/>
        </w:numPr>
        <w:pStyle w:val="Compact"/>
      </w:pPr>
      <w:r>
        <w:t xml:space="preserve">Achieve 50,000 active customer accounts across residential and business segments in Birmingham.</w:t>
      </w:r>
    </w:p>
    <w:p>
      <w:pPr>
        <w:numPr>
          <w:ilvl w:val="0"/>
          <w:numId w:val="1001"/>
        </w:numPr>
        <w:pStyle w:val="Compact"/>
      </w:pPr>
      <w:r>
        <w:t xml:space="preserve">Capture 5% market share among SMEs in the city center and key commercial zones (e.g., New Street, The Mailbox).</w:t>
      </w:r>
    </w:p>
    <w:p>
      <w:pPr>
        <w:numPr>
          <w:ilvl w:val="0"/>
          <w:numId w:val="1001"/>
        </w:numPr>
        <w:pStyle w:val="Compact"/>
      </w:pPr>
      <w:r>
        <w:t xml:space="preserve">Attain a 92% customer satisfaction rating through localized service touchpoints.</w:t>
      </w:r>
    </w:p>
    <w:p>
      <w:pPr>
        <w:numPr>
          <w:ilvl w:val="0"/>
          <w:numId w:val="1001"/>
        </w:numPr>
        <w:pStyle w:val="Compact"/>
      </w:pPr>
      <w:r>
        <w:t xml:space="preserve">Establish physical presence in 8 strategic Birmingham locations by Year 2, including community hubs like Centenary Square and Digbeth.</w:t>
      </w:r>
    </w:p>
    <w:bookmarkEnd w:id="22"/>
    <w:bookmarkStart w:id="23" w:name="Xa290c040a6cac659e1e4b6c9e6bb130be4e3180"/>
    <w:p>
      <w:pPr>
        <w:pStyle w:val="Heading2"/>
      </w:pPr>
      <w:r>
        <w:t xml:space="preserve">Target Audience: Birmingham Residents &amp; Businesses</w:t>
      </w:r>
    </w:p>
    <w:p>
      <w:pPr>
        <w:pStyle w:val="FirstParagraph"/>
      </w:pPr>
      <w:r>
        <w:t xml:space="preserve">Banker's core audience comprises three segments deeply embedded in United Kingdom Birmingham:</w:t>
      </w:r>
    </w:p>
    <w:p>
      <w:pPr>
        <w:numPr>
          <w:ilvl w:val="0"/>
          <w:numId w:val="1002"/>
        </w:numPr>
        <w:pStyle w:val="Compact"/>
      </w:pPr>
      <w:r>
        <w:rPr>
          <w:bCs/>
          <w:b/>
        </w:rPr>
        <w:t xml:space="preserve">SMEs &amp; Entrepreneurs:</w:t>
      </w:r>
      <w:r>
        <w:t xml:space="preserve"> </w:t>
      </w:r>
      <w:r>
        <w:t xml:space="preserve">Small business owners across sectors like retail (Birmingham Bullring), hospitality, and creative arts. They require flexible loans, cash flow management tools, and localized business mentoring—often underserved by national banks.</w:t>
      </w:r>
    </w:p>
    <w:p>
      <w:pPr>
        <w:numPr>
          <w:ilvl w:val="0"/>
          <w:numId w:val="1002"/>
        </w:numPr>
        <w:pStyle w:val="Compact"/>
      </w:pPr>
      <w:r>
        <w:rPr>
          <w:bCs/>
          <w:b/>
        </w:rPr>
        <w:t xml:space="preserve">Young Professionals &amp; Families:</w:t>
      </w:r>
      <w:r>
        <w:t xml:space="preserve"> </w:t>
      </w:r>
      <w:r>
        <w:t xml:space="preserve">Residents aged 25–45 in areas like Moseley, Aston, and Edgbaston seeking digital-first banking with affordable mortgages and budgeting support for Birmingham's rising property market.</w:t>
      </w:r>
    </w:p>
    <w:p>
      <w:pPr>
        <w:numPr>
          <w:ilvl w:val="0"/>
          <w:numId w:val="1002"/>
        </w:numPr>
        <w:pStyle w:val="Compact"/>
      </w:pPr>
      <w:r>
        <w:rPr>
          <w:bCs/>
          <w:b/>
        </w:rPr>
        <w:t xml:space="preserve">Community Organizations &amp; Cooperatives:</w:t>
      </w:r>
      <w:r>
        <w:t xml:space="preserve"> </w:t>
      </w:r>
      <w:r>
        <w:t xml:space="preserve">Charities, social enterprises (e.g., Birmingham Food Network), and neighborhood groups needing ethical financial solutions aligned with city-wide initiatives like "Birmingham 2035."</w:t>
      </w:r>
    </w:p>
    <w:bookmarkEnd w:id="23"/>
    <w:bookmarkStart w:id="24" w:name="X5d24510af90ab0c28cc12d684f0f4ed425925e4"/>
    <w:p>
      <w:pPr>
        <w:pStyle w:val="Heading2"/>
      </w:pPr>
      <w:r>
        <w:t xml:space="preserve">Unique Value Proposition: Why Banker in Birmingham?</w:t>
      </w:r>
    </w:p>
    <w:p>
      <w:pPr>
        <w:pStyle w:val="FirstParagraph"/>
      </w:pPr>
      <w:r>
        <w:t xml:space="preserve">Banker isn't just another bank; it's a Birmingham-born financial partner. Our core differentiators include:</w:t>
      </w:r>
    </w:p>
    <w:p>
      <w:pPr>
        <w:numPr>
          <w:ilvl w:val="0"/>
          <w:numId w:val="1003"/>
        </w:numPr>
        <w:pStyle w:val="Compact"/>
      </w:pPr>
      <w:r>
        <w:rPr>
          <w:bCs/>
          <w:b/>
        </w:rPr>
        <w:t xml:space="preserve">Hyperlocal Expertise:</w:t>
      </w:r>
      <w:r>
        <w:t xml:space="preserve"> </w:t>
      </w:r>
      <w:r>
        <w:t xml:space="preserve">All product development and customer service teams are based within Birmingham, with staff embedded in neighborhoods to understand local needs (e.g., navigating council planning regulations for businesses).</w:t>
      </w:r>
    </w:p>
    <w:p>
      <w:pPr>
        <w:numPr>
          <w:ilvl w:val="0"/>
          <w:numId w:val="1003"/>
        </w:numPr>
        <w:pStyle w:val="Compact"/>
      </w:pPr>
      <w:r>
        <w:rPr>
          <w:bCs/>
          <w:b/>
        </w:rPr>
        <w:t xml:space="preserve">Birmingham-Specific Products:</w:t>
      </w:r>
      <w:r>
        <w:t xml:space="preserve"> </w:t>
      </w:r>
      <w:r>
        <w:t xml:space="preserve">Launch of "Bullring Business Boost" loans for high-street retailers, "Digbeth Creative Fund" for artists, and mortgage packages tailored to Birmingham’s housing corridors.</w:t>
      </w:r>
    </w:p>
    <w:p>
      <w:pPr>
        <w:numPr>
          <w:ilvl w:val="0"/>
          <w:numId w:val="1003"/>
        </w:numPr>
        <w:pStyle w:val="Compact"/>
      </w:pPr>
      <w:r>
        <w:rPr>
          <w:bCs/>
          <w:b/>
        </w:rPr>
        <w:t xml:space="preserve">Community Integration:</w:t>
      </w:r>
      <w:r>
        <w:t xml:space="preserve"> </w:t>
      </w:r>
      <w:r>
        <w:t xml:space="preserve">Partnerships with Birmingham City Council, West Midlands Police (for financial crime awareness), and local events like the Birmingham International Film Festival to embed Banker into community life.</w:t>
      </w:r>
    </w:p>
    <w:bookmarkEnd w:id="24"/>
    <w:bookmarkStart w:id="25" w:name="X24d8acbfe23e3075494f4759f8cda04a416cf23"/>
    <w:p>
      <w:pPr>
        <w:pStyle w:val="Heading2"/>
      </w:pPr>
      <w:r>
        <w:t xml:space="preserve">Marketing Mix (4Ps): Birmingham-First Execution</w:t>
      </w:r>
    </w:p>
    <w:p>
      <w:pPr>
        <w:pStyle w:val="FirstParagraph"/>
      </w:pPr>
      <w:r>
        <w:rPr>
          <w:bCs/>
          <w:b/>
        </w:rPr>
        <w:t xml:space="preserve">Product:</w:t>
      </w:r>
      <w:r>
        <w:t xml:space="preserve"> </w:t>
      </w:r>
      <w:r>
        <w:t xml:space="preserve">A mobile app with a dedicated "Birmingham Hub" feature showing real-time local business opportunities, council service alerts, and event calendars. Physical branches will open in high-footfall areas like Centenary Square, designed as community lounges with free Wi-Fi and financial literacy workshops.</w:t>
      </w:r>
    </w:p>
    <w:p>
      <w:pPr>
        <w:pStyle w:val="BodyText"/>
      </w:pPr>
      <w:r>
        <w:rPr>
          <w:bCs/>
          <w:b/>
        </w:rPr>
        <w:t xml:space="preserve">Pricing:</w:t>
      </w:r>
      <w:r>
        <w:t xml:space="preserve"> </w:t>
      </w:r>
      <w:r>
        <w:t xml:space="preserve">Competitive low-fee structure with no monthly account fees for Birmingham residents. SMEs get discounted rates (15% lower) for businesses operating within 5 miles of Birmingham city center.</w:t>
      </w:r>
    </w:p>
    <w:p>
      <w:pPr>
        <w:pStyle w:val="BodyText"/>
      </w:pPr>
      <w:r>
        <w:rPr>
          <w:bCs/>
          <w:b/>
        </w:rPr>
        <w:t xml:space="preserve">Place:</w:t>
      </w:r>
      <w:r>
        <w:t xml:space="preserve"> </w:t>
      </w:r>
      <w:r>
        <w:t xml:space="preserve">Digital-first strategy with physical "Banker Hubs" strategically located in neighborhoods identified by demographic data: 3 hubs by Q2 2024 (Bordesley Green, Small Heath, and Ladywood), co-located with community centers to maximize accessibility.</w:t>
      </w:r>
    </w:p>
    <w:p>
      <w:pPr>
        <w:pStyle w:val="BodyText"/>
      </w:pPr>
      <w:r>
        <w:rPr>
          <w:bCs/>
          <w:b/>
        </w:rPr>
        <w:t xml:space="preserve">Promotion:</w:t>
      </w:r>
      <w:r>
        <w:t xml:space="preserve"> </w:t>
      </w:r>
      <w:r>
        <w:t xml:space="preserve">A localized campaign across Birmingham’s unique media channels: partnership with BBC Midlands for "Money Matters" radio segments, targeted social ads using geofencing in Birmingham IP zones, and street teams distributing "Birmingham Banking Kits" (with local business discounts) at events like the Birmingham Food Festival.</w:t>
      </w:r>
    </w:p>
    <w:bookmarkEnd w:id="25"/>
    <w:bookmarkStart w:id="26"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United Kingdom Birmingham</w:t>
            </w:r>
          </w:p>
        </w:tc>
      </w:tr>
      <w:tr>
        <w:tc>
          <w:tcPr/>
          <w:p>
            <w:pPr>
              <w:pStyle w:val="Compact"/>
              <w:jc w:val="left"/>
            </w:pPr>
            <w:r>
              <w:t xml:space="preserve">Q1 2024</w:t>
            </w:r>
          </w:p>
        </w:tc>
        <w:tc>
          <w:tcPr/>
          <w:p>
            <w:pPr>
              <w:pStyle w:val="Compact"/>
              <w:jc w:val="left"/>
            </w:pPr>
            <w:r>
              <w:t xml:space="preserve">Landing launch with pop-up "Banker Hubs" at Birmingham Food Festival and NEC Show. Social media campaign #MyBirminghamBanker targeting local influencers.</w:t>
            </w:r>
          </w:p>
        </w:tc>
      </w:tr>
      <w:tr>
        <w:tc>
          <w:tcPr/>
          <w:p>
            <w:pPr>
              <w:pStyle w:val="Compact"/>
              <w:jc w:val="left"/>
            </w:pPr>
            <w:r>
              <w:t xml:space="preserve">Q3 2024</w:t>
            </w:r>
          </w:p>
        </w:tc>
        <w:tc>
          <w:tcPr/>
          <w:p>
            <w:pPr>
              <w:pStyle w:val="Compact"/>
              <w:jc w:val="left"/>
            </w:pPr>
            <w:r>
              <w:t xml:space="preserve">Launch SME-focused "Birmingham Growth Sprint" workshops with local business mentors. Partner with Birmingham Libraries for free financial literacy sessions.</w:t>
            </w:r>
          </w:p>
        </w:tc>
      </w:tr>
      <w:tr>
        <w:tc>
          <w:tcPr/>
          <w:p>
            <w:pPr>
              <w:pStyle w:val="Compact"/>
              <w:jc w:val="left"/>
            </w:pPr>
            <w:r>
              <w:t xml:space="preserve">Q1 2025</w:t>
            </w:r>
          </w:p>
        </w:tc>
        <w:tc>
          <w:tcPr/>
          <w:p>
            <w:pPr>
              <w:pStyle w:val="Compact"/>
              <w:jc w:val="left"/>
            </w:pPr>
            <w:r>
              <w:t xml:space="preserve">Expand physical presence to 8 locations across Birmingham, including a dedicated hub in the new HS2-connected city center zone.</w:t>
            </w:r>
          </w:p>
        </w:tc>
      </w:tr>
    </w:tbl>
    <w:bookmarkEnd w:id="26"/>
    <w:bookmarkStart w:id="27" w:name="budget-allocation-kpis"/>
    <w:p>
      <w:pPr>
        <w:pStyle w:val="Heading2"/>
      </w:pPr>
      <w:r>
        <w:t xml:space="preserve">Budget Allocation &amp; KPIs</w:t>
      </w:r>
    </w:p>
    <w:p>
      <w:pPr>
        <w:pStyle w:val="FirstParagraph"/>
      </w:pPr>
      <w:r>
        <w:t xml:space="preserve">The marketing budget of £1.5M for Year 1 is allocated 40% to hyperlocal digital campaigns (Birmingham-targeted Google/Facebook ads), 35% to community events and partnerships, and 25% to physical hub setup. Key success metrics include:</w:t>
      </w:r>
    </w:p>
    <w:p>
      <w:pPr>
        <w:numPr>
          <w:ilvl w:val="0"/>
          <w:numId w:val="1004"/>
        </w:numPr>
        <w:pStyle w:val="Compact"/>
      </w:pPr>
      <w:r>
        <w:t xml:space="preserve">Customer Acquisition Cost (CAC) below £35 per Birmingham resident.</w:t>
      </w:r>
    </w:p>
    <w:p>
      <w:pPr>
        <w:numPr>
          <w:ilvl w:val="0"/>
          <w:numId w:val="1004"/>
        </w:numPr>
        <w:pStyle w:val="Compact"/>
      </w:pPr>
      <w:r>
        <w:t xml:space="preserve">Minimum 60% social media engagement rate within Birmingham geofenced areas.</w:t>
      </w:r>
    </w:p>
    <w:p>
      <w:pPr>
        <w:numPr>
          <w:ilvl w:val="0"/>
          <w:numId w:val="1004"/>
        </w:numPr>
        <w:pStyle w:val="Compact"/>
      </w:pPr>
      <w:r>
        <w:t xml:space="preserve">SME client retention rate of 85% by Year 2 (vs. industry average of 70%).</w:t>
      </w:r>
    </w:p>
    <w:bookmarkEnd w:id="27"/>
    <w:bookmarkStart w:id="28" w:name="Xa49b1837776e3b77b218c1126d377599fe81e80"/>
    <w:p>
      <w:pPr>
        <w:pStyle w:val="Heading2"/>
      </w:pPr>
      <w:r>
        <w:t xml:space="preserve">Conclusion: Banking for Birmingham, By Birmingham</w:t>
      </w:r>
    </w:p>
    <w:p>
      <w:pPr>
        <w:pStyle w:val="FirstParagraph"/>
      </w:pPr>
      <w:r>
        <w:t xml:space="preserve">This Marketing Plan positions Banker not merely as a financial institution but as an indispensable community asset within the United Kingdom Birmingham landscape. By embedding ourselves in the city’s economic and social fabric—through location-specific products, neighborhood-level engagement, and a commitment to local growth—we will redefine banking for Birmingham residents and businesses. The success of this plan hinges on unwavering focus: every campaign, product feature, and partnership must resonate with Birmingham’s identity as a city of resilience and opportunity. Banker will be more than just "a bank in Birmingham"—it will become the financial heartbeat of United Kingdom Birmingham.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Birmingham, United Kingdom</dc:title>
  <dc:creator/>
  <cp:keywords/>
  <dcterms:created xsi:type="dcterms:W3CDTF">2026-07-24T06:02:37Z</dcterms:created>
  <dcterms:modified xsi:type="dcterms:W3CDTF">2026-07-24T06:02:37Z</dcterms:modified>
</cp:coreProperties>
</file>

<file path=docProps/custom.xml><?xml version="1.0" encoding="utf-8"?>
<Properties xmlns="http://schemas.openxmlformats.org/officeDocument/2006/custom-properties" xmlns:vt="http://schemas.openxmlformats.org/officeDocument/2006/docPropsVTypes"/>
</file>