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Banker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4b9118d2a9b76b861b3b994cc3e999f465a2bdc"/>
    <w:p>
      <w:pPr>
        <w:pStyle w:val="Heading1"/>
      </w:pPr>
      <w:r>
        <w:t xml:space="preserve">Comprehensive Marketing Plan for The Banker: Targeting the United States Miami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The Banker</w:t>
      </w:r>
      <w:r>
        <w:t xml:space="preserve">, positioning itself as Miami's premier financial partner within the competitive landscape of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With over 6 million residents and a diverse economy driven by tourism, international trade, and finance, Miami presents unparalleled opportunities for a specialized banking brand. This plan details our approach to capturing market share through hyper-localized strategies that resonate with Miami's unique cultural fabric while delivering exceptional financial solutions. We project a 25% market penetration increase within the first 18 months of implementation across all key demographics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bookmarkEnd w:id="20"/>
    <w:bookmarkStart w:id="21" w:name="X2be5f5372dd312a9cab287c745896545757a846"/>
    <w:p>
      <w:pPr>
        <w:pStyle w:val="Heading2"/>
      </w:pPr>
      <w:r>
        <w:t xml:space="preserve">Situation Analysis: Miami's Banking Landscape</w:t>
      </w:r>
    </w:p>
    <w:p>
      <w:pPr>
        <w:pStyle w:val="FirstParagraph"/>
      </w:pPr>
      <w:r>
        <w:t xml:space="preserve">Miami's financial sector is characterized by intense competition from national banks and local credit unions. However, a critical gap exists in personalized service tailored to Miami's multilingual population (59% Spanish-speaking) and burgeoning high-net-worth community.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enters this space with a differentiated value proposition: culturally intelligent banking that combines traditional financial expertise with deep Miami community integration. Key insights from our market research include:</w:t>
      </w:r>
    </w:p>
    <w:p>
      <w:pPr>
        <w:numPr>
          <w:ilvl w:val="0"/>
          <w:numId w:val="1001"/>
        </w:numPr>
        <w:pStyle w:val="Compact"/>
      </w:pPr>
      <w:r>
        <w:t xml:space="preserve">68% of Miami residents prefer banks offering bilingual services (Spanish/English)</w:t>
      </w:r>
    </w:p>
    <w:p>
      <w:pPr>
        <w:numPr>
          <w:ilvl w:val="0"/>
          <w:numId w:val="1001"/>
        </w:numPr>
        <w:pStyle w:val="Compact"/>
      </w:pPr>
      <w:r>
        <w:t xml:space="preserve">35% of local businesses cite "lack of cultural understanding" as the primary reason for switching banks</w:t>
      </w:r>
    </w:p>
    <w:p>
      <w:pPr>
        <w:numPr>
          <w:ilvl w:val="0"/>
          <w:numId w:val="1001"/>
        </w:numPr>
        <w:pStyle w:val="Compact"/>
      </w:pPr>
      <w:r>
        <w:t xml:space="preserve">Miami's international business sector grew 22% YoY, creating demand for specialized cross-border solutions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Entrepreneurial Immigrant Communities:</w:t>
      </w:r>
      <w:r>
        <w:t xml:space="preserve"> </w:t>
      </w:r>
      <w:r>
        <w:t xml:space="preserve">Cuban, Venezuelan, and Brazilian business owners (35% of market) seeking cross-border banking with cultural fluency.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(HNWIs):</w:t>
      </w:r>
      <w:r>
        <w:t xml:space="preserve"> </w:t>
      </w:r>
      <w:r>
        <w:t xml:space="preserve">Miami's rapidly expanding ultra-wealthy population (18% growth in 2023), prioritizing privacy and international asset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Millennial Professionals:</w:t>
      </w:r>
      <w:r>
        <w:t xml:space="preserve"> </w:t>
      </w:r>
      <w:r>
        <w:t xml:space="preserve">Tech and finance workers (ages 28-40) demanding digital-first banking with community engagement.</w:t>
      </w:r>
    </w:p>
    <w:bookmarkEnd w:id="22"/>
    <w:bookmarkStart w:id="23" w:name="X077d3ed742a9603aa89fd7103b01d5f5fc159aa"/>
    <w:p>
      <w:pPr>
        <w:pStyle w:val="Heading2"/>
      </w:pPr>
      <w:r>
        <w:t xml:space="preserve">Marketing Goals &amp;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15,000 new customer accounts</w:t>
      </w:r>
      <w:r>
        <w:t xml:space="preserve"> </w:t>
      </w:r>
      <w:r>
        <w:t xml:space="preserve">in Miami within 18 months (45% of target market)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Attain 92% customer satisfaction score</w:t>
      </w:r>
      <w:r>
        <w:t xml:space="preserve"> </w:t>
      </w:r>
      <w:r>
        <w:t xml:space="preserve">through personalized service metrics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Capture $28M in new deposits</w:t>
      </w:r>
      <w:r>
        <w:t xml:space="preserve"> </w:t>
      </w:r>
      <w:r>
        <w:t xml:space="preserve">by Year 1 end, with focus on business banking segments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brand recognition at 75%+</w:t>
      </w:r>
      <w:r>
        <w:t xml:space="preserve"> </w:t>
      </w:r>
      <w:r>
        <w:t xml:space="preserve">across target demographics in</w:t>
      </w:r>
      <w:r>
        <w:t xml:space="preserve"> </w:t>
      </w:r>
      <w:r>
        <w:rPr>
          <w:bCs/>
          <w:b/>
        </w:rPr>
        <w:t xml:space="preserve">United States Miami</w:t>
      </w:r>
    </w:p>
    <w:bookmarkEnd w:id="23"/>
    <w:bookmarkStart w:id="27" w:name="X5953ab4e21e11770e0142233ffb3840dcb0d42c"/>
    <w:p>
      <w:pPr>
        <w:pStyle w:val="Heading2"/>
      </w:pPr>
      <w:r>
        <w:t xml:space="preserve">Strategic Pillars: The Banker's Miami Differentiation</w:t>
      </w:r>
    </w:p>
    <w:bookmarkStart w:id="24" w:name="Xefac70f1dff73c92e0bb6e8c9c4947af1cedb19"/>
    <w:p>
      <w:pPr>
        <w:pStyle w:val="Heading3"/>
      </w:pPr>
      <w:r>
        <w:t xml:space="preserve">Pillar 1: Culturally Embedded Service Delivery</w:t>
      </w:r>
    </w:p>
    <w:p>
      <w:pPr>
        <w:pStyle w:val="FirstParagraph"/>
      </w:pPr>
      <w:r>
        <w:rPr>
          <w:bCs/>
          <w:b/>
        </w:rPr>
        <w:t xml:space="preserve">The Banker</w:t>
      </w:r>
      <w:r>
        <w:t xml:space="preserve"> </w:t>
      </w:r>
      <w:r>
        <w:t xml:space="preserve">will deploy all-service centers staffed with bilingual (Spanish/English) relationship managers fluent in local customs. This includes:</w:t>
      </w:r>
    </w:p>
    <w:p>
      <w:pPr>
        <w:numPr>
          <w:ilvl w:val="0"/>
          <w:numId w:val="1004"/>
        </w:numPr>
        <w:pStyle w:val="Compact"/>
      </w:pPr>
      <w:r>
        <w:t xml:space="preserve">Weekly "Cultural Banking Hours" at our Downtown Miami branch, featuring guest speakers from Cuban, Puerto Rican, and Brazilian business associations</w:t>
      </w:r>
    </w:p>
    <w:p>
      <w:pPr>
        <w:numPr>
          <w:ilvl w:val="0"/>
          <w:numId w:val="1004"/>
        </w:numPr>
        <w:pStyle w:val="Compact"/>
      </w:pPr>
      <w:r>
        <w:t xml:space="preserve">Customized financial guides for immigrant entrepreneurs (e.g., "Starting a Business in Miami: A Guide for Spanish-Speaking Entrepreneurs")</w:t>
      </w:r>
    </w:p>
    <w:p>
      <w:pPr>
        <w:numPr>
          <w:ilvl w:val="0"/>
          <w:numId w:val="1004"/>
        </w:numPr>
        <w:pStyle w:val="Compact"/>
      </w:pPr>
      <w:r>
        <w:t xml:space="preserve">Partnership with Miami-Dade Chamber of Commerce to co-host quarterly networking events focused on international trade compliance</w:t>
      </w:r>
    </w:p>
    <w:bookmarkEnd w:id="24"/>
    <w:bookmarkStart w:id="25" w:name="X7cbe3523e6d84adedcf155da0d25d73a742c256"/>
    <w:p>
      <w:pPr>
        <w:pStyle w:val="Heading3"/>
      </w:pPr>
      <w:r>
        <w:t xml:space="preserve">Pillar 2: Digital Innovation with Local Relevance</w:t>
      </w:r>
    </w:p>
    <w:p>
      <w:pPr>
        <w:pStyle w:val="FirstParagraph"/>
      </w:pPr>
      <w:r>
        <w:t xml:space="preserve">Miami's tech-savvy population demands seamless digital experiences. Our mobile app will feature:</w:t>
      </w:r>
    </w:p>
    <w:p>
      <w:pPr>
        <w:numPr>
          <w:ilvl w:val="0"/>
          <w:numId w:val="1005"/>
        </w:numPr>
        <w:pStyle w:val="Compact"/>
      </w:pPr>
      <w:r>
        <w:t xml:space="preserve">Real-time currency conversion for Latin American currencies (BRL, COP, VES)</w:t>
      </w:r>
    </w:p>
    <w:p>
      <w:pPr>
        <w:numPr>
          <w:ilvl w:val="0"/>
          <w:numId w:val="1005"/>
        </w:numPr>
        <w:pStyle w:val="Compact"/>
      </w:pPr>
      <w:r>
        <w:t xml:space="preserve">Integrated hurricane preparedness tools (critical for Miami resilience)</w:t>
      </w:r>
    </w:p>
    <w:p>
      <w:pPr>
        <w:numPr>
          <w:ilvl w:val="0"/>
          <w:numId w:val="1005"/>
        </w:numPr>
        <w:pStyle w:val="Compact"/>
      </w:pPr>
      <w:r>
        <w:t xml:space="preserve">Local event calendar with banking benefits at Miami Art Week, Ultra Music Festival, and Cuban Heritage Month events</w:t>
      </w:r>
    </w:p>
    <w:bookmarkEnd w:id="25"/>
    <w:bookmarkStart w:id="26" w:name="X5a0aeeca412cc44ea72a788bbe272b48dac6500"/>
    <w:p>
      <w:pPr>
        <w:pStyle w:val="Heading3"/>
      </w:pPr>
      <w:r>
        <w:t xml:space="preserve">Pillar 3: Community-Centric Brand Building</w:t>
      </w:r>
    </w:p>
    <w:p>
      <w:pPr>
        <w:pStyle w:val="FirstParagraph"/>
      </w:pPr>
      <w:r>
        <w:t xml:space="preserve">Beyond transactions,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will embed itself into Miami's social fabric:</w:t>
      </w:r>
    </w:p>
    <w:p>
      <w:pPr>
        <w:numPr>
          <w:ilvl w:val="0"/>
          <w:numId w:val="1006"/>
        </w:numPr>
        <w:pStyle w:val="Compact"/>
      </w:pPr>
      <w:r>
        <w:t xml:space="preserve">Sponsorship of "Miami Financial Literacy Week" in partnership with public schools in underserved neighborhoods (e.g., Little Havana, Overtown)</w:t>
      </w:r>
    </w:p>
    <w:p>
      <w:pPr>
        <w:numPr>
          <w:ilvl w:val="0"/>
          <w:numId w:val="1006"/>
        </w:numPr>
        <w:pStyle w:val="Compact"/>
      </w:pPr>
      <w:r>
        <w:t xml:space="preserve">Launch of "Banker Impact Fund": 1% of all business loan interest funds local initiatives like Miami River restoration projects</w:t>
      </w:r>
    </w:p>
    <w:p>
      <w:pPr>
        <w:numPr>
          <w:ilvl w:val="0"/>
          <w:numId w:val="1006"/>
        </w:numPr>
        <w:pStyle w:val="Compact"/>
      </w:pPr>
      <w:r>
        <w:t xml:space="preserve">Hosting quarterly "Miami Money Talks" at Wynwood Walls – free financial workshops addressing crypto, real estate, and entrepreneurship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Initiatives in United States Miami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bilingual service centers; Deploy mobile app with Miami-specific features; Secure partnerships with 3 key community organizations (e.g., Cuban American National Foundation)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inaugural "Miami Money Talks" event at Wynwood Walls; Roll out targeted digital ads focusing on immigrant business owners; Begin financial literacy workshops in public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Miami International Airport partnership for travel banking promotions; Launch "Banker Impact Fund" with first grant distribution; Expand branch network to Brickell Avenue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 and optimize campaign performance; Plan 2025 expansion into Miami Beach market; Host annual "Cultural Banking Summit" at Perez Art Museum Miami</w:t>
            </w:r>
          </w:p>
        </w:tc>
      </w:tr>
    </w:tbl>
    <w:bookmarkEnd w:id="28"/>
    <w:bookmarkStart w:id="29" w:name="X0f4eabf6efe7d0e5852974e0436b2c215abd538"/>
    <w:p>
      <w:pPr>
        <w:pStyle w:val="Heading2"/>
      </w:pPr>
      <w:r>
        <w:t xml:space="preserve">Budget Allocation: Strategic Investment in Miami</w:t>
      </w:r>
    </w:p>
    <w:p>
      <w:pPr>
        <w:pStyle w:val="FirstParagraph"/>
      </w:pPr>
      <w:r>
        <w:t xml:space="preserve">Total allocated budget: $1.8M (65% dedicated exclusively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initiatives):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(35%):</w:t>
      </w:r>
      <w:r>
        <w:t xml:space="preserve"> </w:t>
      </w:r>
      <w:r>
        <w:t xml:space="preserve">$630,000 – Events, sponsorships, and literacy programs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(25%):</w:t>
      </w:r>
      <w:r>
        <w:t xml:space="preserve"> </w:t>
      </w:r>
      <w:r>
        <w:t xml:space="preserve">$450,000 – Geo-targeted ads focusing on Miami neighborhoods with high immigrant populations; App development enhancements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&amp; Creative (20%):</w:t>
      </w:r>
      <w:r>
        <w:t xml:space="preserve"> </w:t>
      </w:r>
      <w:r>
        <w:t xml:space="preserve">$360,000 – Localized advertising campaigns featuring Miami influencers and cultural icons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Operations (20%):</w:t>
      </w:r>
      <w:r>
        <w:t xml:space="preserve"> </w:t>
      </w:r>
      <w:r>
        <w:t xml:space="preserve">$360,000 – Bilingual staff training; Branch customization for Miami aesthetics (e.g., coral-inspired decor)</w:t>
      </w:r>
    </w:p>
    <w:bookmarkEnd w:id="29"/>
    <w:bookmarkStart w:id="30" w:name="measurement-kpis-for-the-banker-in-miami"/>
    <w:p>
      <w:pPr>
        <w:pStyle w:val="Heading2"/>
      </w:pPr>
      <w:r>
        <w:t xml:space="preserve">Measurement &amp; KPIs for The Banker in Miami</w:t>
      </w:r>
    </w:p>
    <w:p>
      <w:pPr>
        <w:pStyle w:val="FirstParagraph"/>
      </w:pPr>
      <w:r>
        <w:t xml:space="preserve">We'll track success through Miami-specific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Engagement Score:</w:t>
      </w:r>
      <w:r>
        <w:t xml:space="preserve"> </w:t>
      </w:r>
      <w:r>
        <w:t xml:space="preserve">% of customers using bilingual services (Target: 70% by Q3 2024)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Index:</w:t>
      </w:r>
      <w:r>
        <w:t xml:space="preserve"> </w:t>
      </w:r>
      <w:r>
        <w:t xml:space="preserve">Number of local initiatives supported through Banker Impact Fund (Target: $500K allocated in Year 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Miami Loyalty Rate:</w:t>
      </w:r>
      <w:r>
        <w:t xml:space="preserve"> </w:t>
      </w:r>
      <w:r>
        <w:t xml:space="preserve">Retention rate among Miami customers (Target: 90% vs. industry avg. 78%)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Brand Recall:</w:t>
      </w:r>
      <w:r>
        <w:t xml:space="preserve"> </w:t>
      </w:r>
      <w:r>
        <w:t xml:space="preserve">Post-campaign survey showing recognition as "Miami's most culturally aware bank" (Target: 65% awareness)</w:t>
      </w:r>
    </w:p>
    <w:bookmarkEnd w:id="30"/>
    <w:bookmarkStart w:id="31" w:name="conclusion-banking-miami-for-miami"/>
    <w:p>
      <w:pPr>
        <w:pStyle w:val="Heading2"/>
      </w:pPr>
      <w:r>
        <w:t xml:space="preserve">Conclusion: Banking Miami, For Miami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not merely as a financial institution, but as an indispensable partner in Miami's economic ecosystem. By embedding cultural intelligence into every service touchpoint and committing to community investment that addresses Miami-specific needs – from hurricane resilience to immigrant business growth – we will transform the banking experience 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Unlike national banks operating from distant headquarters,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will prove its worth through actions that matter most to Miamians: respect for heritage, responsiveness to local challenges, and genuine partnership in their financial journeys. In a city where identity is as vibrant as its skyline, our marketing strategy ensures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doesn't just serve Miami – it becomes woven into the city's very fabric.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The Banker - United States Miami</dc:title>
  <dc:creator/>
  <dc:language>en</dc:language>
  <cp:keywords/>
  <dcterms:created xsi:type="dcterms:W3CDTF">2025-12-15T22:45:19Z</dcterms:created>
  <dcterms:modified xsi:type="dcterms:W3CDTF">2025-12-15T22:45:19Z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