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Uzbekistan</w:t>
      </w:r>
      <w:r>
        <w:t xml:space="preserve"> </w:t>
      </w:r>
      <w:r>
        <w:t xml:space="preserve">Tashkent</w:t>
      </w:r>
    </w:p>
    <w:bookmarkStart w:id="32" w:name="Xd661c63f10d32fd0616b34be539d9eec9d54f30"/>
    <w:p>
      <w:pPr>
        <w:pStyle w:val="Heading1"/>
      </w:pPr>
      <w:r>
        <w:t xml:space="preserve">Comprehensive Marketing Plan for Banker: Establishing Market Leadership in Uzbekistan Tashkent</w:t>
      </w:r>
    </w:p>
    <w:bookmarkStart w:id="20" w:name="executive-summary"/>
    <w:p>
      <w:pPr>
        <w:pStyle w:val="Heading2"/>
      </w:pPr>
      <w:r>
        <w:t xml:space="preserve">Executive Summary</w:t>
      </w:r>
    </w:p>
    <w:p>
      <w:pPr>
        <w:pStyle w:val="FirstParagraph"/>
      </w:pPr>
      <w:r>
        <w:t xml:space="preserve">This Marketing Plan outlines a strategic roadmap for "Banker," a leading digital banking platform, to capture significant market share within Tashkent, Uzbekistan. Recognizing Uzbekistan's rapidly evolving financial landscape and Tashkent's position as the nation's economic epicenter, this plan targets 15% market penetration among urban residents within 24 months through culturally resonant digital engagement and hyper-localized financial solutions. By leveraging Uzbekistan's banking sector liberalization and Tashkent's high smartphone adoption rate (68%), Banker will establish itself as the premier banking partner for both individuals and SMEs, driving customer acquisition while fostering financial inclusion across Uzbekistan Tashkent.</w:t>
      </w:r>
    </w:p>
    <w:bookmarkEnd w:id="20"/>
    <w:bookmarkStart w:id="21" w:name="X46bff53163592dc652c35031df9a56acef18b29"/>
    <w:p>
      <w:pPr>
        <w:pStyle w:val="Heading2"/>
      </w:pPr>
      <w:r>
        <w:t xml:space="preserve">Situation Analysis: Banking Landscape in Uzbekistan Tashkent</w:t>
      </w:r>
    </w:p>
    <w:p>
      <w:pPr>
        <w:pStyle w:val="FirstParagraph"/>
      </w:pPr>
      <w:r>
        <w:t xml:space="preserve">Tashkent represents 30% of Uzbekistan's GDP and houses 65% of the country's banking institutions. The sector is undergoing transformative growth post-2019 financial reforms, with digital banking adoption accelerating at 45% annually. However, only 38% of Tashkent residents use digital banking services compared to global averages (72%), indicating substantial untapped potential. Key competitors like Uzum Bank and Humo dominate traditional channels but lack personalized mobile experiences. Cultural factors are critical: Uzbekistan values trust (92% prefer face-to-face banking interactions), family-oriented financial planning, and strong community ties – elements currently under-served by digital-first banks.</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Urban professionals aged 25-45 in Tashkent (1.5 million potential customers), seeking mobile banking for salary management, education loans, and small business financing. They value time efficiency but require Uzbek-language support and local payment integration.</w:t>
      </w:r>
    </w:p>
    <w:p>
      <w:pPr>
        <w:pStyle w:val="BodyText"/>
      </w:pPr>
      <w:r>
        <w:rPr>
          <w:bCs/>
          <w:b/>
        </w:rPr>
        <w:t xml:space="preserve">Secondary:</w:t>
      </w:r>
      <w:r>
        <w:t xml:space="preserve"> </w:t>
      </w:r>
      <w:r>
        <w:t xml:space="preserve">SME owners across Tashkent's key sectors (textiles, agriculture, e-commerce) needing microloans with collateral flexibility – 78% of SMEs cite credit access as their top challenge per Central Bank of Uzbekistan data.</w:t>
      </w:r>
    </w:p>
    <w:p>
      <w:pPr>
        <w:pStyle w:val="BodyText"/>
      </w:pPr>
      <w:r>
        <w:rPr>
          <w:bCs/>
          <w:b/>
        </w:rPr>
        <w:t xml:space="preserve">Tertiary:</w:t>
      </w:r>
      <w:r>
        <w:t xml:space="preserve"> </w:t>
      </w:r>
      <w:r>
        <w:t xml:space="preserve">Expatriate community in Tashkent (12,000+), requiring multi-currency accounts and international transfer capabilities – a $32M annual market opportunity.</w:t>
      </w:r>
    </w:p>
    <w:bookmarkEnd w:id="22"/>
    <w:bookmarkStart w:id="23" w:name="marketing-objectives-year-1"/>
    <w:p>
      <w:pPr>
        <w:pStyle w:val="Heading2"/>
      </w:pPr>
      <w:r>
        <w:t xml:space="preserve">Marketing Objectives (Year 1)</w:t>
      </w:r>
    </w:p>
    <w:p>
      <w:pPr>
        <w:numPr>
          <w:ilvl w:val="0"/>
          <w:numId w:val="1001"/>
        </w:numPr>
        <w:pStyle w:val="Compact"/>
      </w:pPr>
      <w:r>
        <w:t xml:space="preserve">Achieve 50,000 active mobile users in Tashkent within 12 months (1.8% of target market)</w:t>
      </w:r>
    </w:p>
    <w:p>
      <w:pPr>
        <w:numPr>
          <w:ilvl w:val="0"/>
          <w:numId w:val="1001"/>
        </w:numPr>
        <w:pStyle w:val="Compact"/>
      </w:pPr>
      <w:r>
        <w:t xml:space="preserve">Attain 75% brand recognition among Tashkent's urban professional demographic</w:t>
      </w:r>
    </w:p>
    <w:p>
      <w:pPr>
        <w:numPr>
          <w:ilvl w:val="0"/>
          <w:numId w:val="1001"/>
        </w:numPr>
        <w:pStyle w:val="Compact"/>
      </w:pPr>
      <w:r>
        <w:t xml:space="preserve">Generate $2.3M in new SME loan disbursements by Month 18</w:t>
      </w:r>
    </w:p>
    <w:p>
      <w:pPr>
        <w:numPr>
          <w:ilvl w:val="0"/>
          <w:numId w:val="1001"/>
        </w:numPr>
        <w:pStyle w:val="Compact"/>
      </w:pPr>
      <w:r>
        <w:t xml:space="preserve">Secure 40% customer retention rate through personalized financial coaching (exceeding industry average of 28%)</w:t>
      </w:r>
    </w:p>
    <w:bookmarkEnd w:id="23"/>
    <w:bookmarkStart w:id="27" w:name="X56a14420e5cfb25145008d1e3e1ec91c8e53d4e"/>
    <w:p>
      <w:pPr>
        <w:pStyle w:val="Heading2"/>
      </w:pPr>
      <w:r>
        <w:t xml:space="preserve">Core Marketing Strategies for Uzbekistan Tashkent Context</w:t>
      </w:r>
    </w:p>
    <w:bookmarkStart w:id="24" w:name="culturally-embedded-digital-experience"/>
    <w:p>
      <w:pPr>
        <w:pStyle w:val="Heading3"/>
      </w:pPr>
      <w:r>
        <w:t xml:space="preserve">1. Culturally Embedded Digital Experience</w:t>
      </w:r>
    </w:p>
    <w:p>
      <w:pPr>
        <w:pStyle w:val="FirstParagraph"/>
      </w:pPr>
      <w:r>
        <w:t xml:space="preserve">Beyond basic mobile app functionality, Banker will integrate Uzbeks' cultural priorities:</w:t>
      </w:r>
    </w:p>
    <w:p>
      <w:pPr>
        <w:numPr>
          <w:ilvl w:val="0"/>
          <w:numId w:val="1002"/>
        </w:numPr>
        <w:pStyle w:val="Compact"/>
      </w:pPr>
      <w:r>
        <w:rPr>
          <w:bCs/>
          <w:b/>
        </w:rPr>
        <w:t xml:space="preserve">Uzbek-Language &amp; Localized UI:</w:t>
      </w:r>
      <w:r>
        <w:t xml:space="preserve"> </w:t>
      </w:r>
      <w:r>
        <w:t xml:space="preserve">Full interface in Uzbek (not just translated) with Tashkent-centric imagery – including landmarks like Independence Square and Chorsu Bazaar</w:t>
      </w:r>
    </w:p>
    <w:p>
      <w:pPr>
        <w:numPr>
          <w:ilvl w:val="0"/>
          <w:numId w:val="1002"/>
        </w:numPr>
        <w:pStyle w:val="Compact"/>
      </w:pPr>
      <w:r>
        <w:rPr>
          <w:bCs/>
          <w:b/>
        </w:rPr>
        <w:t xml:space="preserve">Namaz &amp; Holiday Banking:</w:t>
      </w:r>
      <w:r>
        <w:t xml:space="preserve"> </w:t>
      </w:r>
      <w:r>
        <w:t xml:space="preserve">Scheduled transaction windows avoiding prayer times; special savings plans for Ramadan/Eid (32% of users prioritize religious holidays)</w:t>
      </w:r>
    </w:p>
    <w:bookmarkEnd w:id="24"/>
    <w:bookmarkStart w:id="25" w:name="hyper-local-partnership-ecosystem"/>
    <w:p>
      <w:pPr>
        <w:pStyle w:val="Heading3"/>
      </w:pPr>
      <w:r>
        <w:t xml:space="preserve">2. Hyper-Local Partnership Ecosystem</w:t>
      </w:r>
    </w:p>
    <w:p>
      <w:pPr>
        <w:pStyle w:val="FirstParagraph"/>
      </w:pPr>
      <w:r>
        <w:t xml:space="preserve">Strategic alliances with Tashkent's community fabric:</w:t>
      </w:r>
    </w:p>
    <w:p>
      <w:pPr>
        <w:numPr>
          <w:ilvl w:val="0"/>
          <w:numId w:val="1003"/>
        </w:numPr>
        <w:pStyle w:val="Compact"/>
      </w:pPr>
      <w:r>
        <w:rPr>
          <w:bCs/>
          <w:b/>
        </w:rPr>
        <w:t xml:space="preserve">Kvartal 47 Collaboration:</w:t>
      </w:r>
      <w:r>
        <w:t xml:space="preserve"> </w:t>
      </w:r>
      <w:r>
        <w:t xml:space="preserve">Co-branded financial wellness workshops in Tashkent's largest cultural hub for SME owners</w:t>
      </w:r>
    </w:p>
    <w:p>
      <w:pPr>
        <w:numPr>
          <w:ilvl w:val="0"/>
          <w:numId w:val="1003"/>
        </w:numPr>
        <w:pStyle w:val="Compact"/>
      </w:pPr>
      <w:r>
        <w:rPr>
          <w:bCs/>
          <w:b/>
        </w:rPr>
        <w:t xml:space="preserve">Metro &amp; Bus Integration:</w:t>
      </w:r>
      <w:r>
        <w:t xml:space="preserve"> </w:t>
      </w:r>
      <w:r>
        <w:t xml:space="preserve">Partner with Tashkent City Transport for QR code payments on 200+ buses, enabling instant top-ups via Banker app</w:t>
      </w:r>
    </w:p>
    <w:p>
      <w:pPr>
        <w:numPr>
          <w:ilvl w:val="0"/>
          <w:numId w:val="1003"/>
        </w:numPr>
        <w:pStyle w:val="Compact"/>
      </w:pPr>
      <w:r>
        <w:rPr>
          <w:bCs/>
          <w:b/>
        </w:rPr>
        <w:t xml:space="preserve">Local Merchant Networks:</w:t>
      </w:r>
      <w:r>
        <w:t xml:space="preserve"> </w:t>
      </w:r>
      <w:r>
        <w:t xml:space="preserve">5,000+ Tashkent shops offering "Banker Points" for cashless transactions – redeemable at Uzbek bazaars</w:t>
      </w:r>
    </w:p>
    <w:bookmarkEnd w:id="25"/>
    <w:bookmarkStart w:id="26" w:name="trust-building-community-engagement"/>
    <w:p>
      <w:pPr>
        <w:pStyle w:val="Heading3"/>
      </w:pPr>
      <w:r>
        <w:t xml:space="preserve">3. Trust-Building Community Engagement</w:t>
      </w:r>
    </w:p>
    <w:p>
      <w:pPr>
        <w:pStyle w:val="FirstParagraph"/>
      </w:pPr>
      <w:r>
        <w:t xml:space="preserve">Moving beyond digital to human connection:</w:t>
      </w:r>
    </w:p>
    <w:p>
      <w:pPr>
        <w:numPr>
          <w:ilvl w:val="0"/>
          <w:numId w:val="1004"/>
        </w:numPr>
        <w:pStyle w:val="Compact"/>
      </w:pPr>
      <w:r>
        <w:rPr>
          <w:bCs/>
          <w:b/>
        </w:rPr>
        <w:t xml:space="preserve">Banker Tashkent Ambassadors:</w:t>
      </w:r>
      <w:r>
        <w:t xml:space="preserve"> </w:t>
      </w:r>
      <w:r>
        <w:t xml:space="preserve">Recruit 200+ university students in Tashkent (Tashkent State University, Alisher Navoiy University) for peer-to-peer app onboarding</w:t>
      </w:r>
    </w:p>
    <w:p>
      <w:pPr>
        <w:numPr>
          <w:ilvl w:val="0"/>
          <w:numId w:val="1004"/>
        </w:numPr>
        <w:pStyle w:val="Compact"/>
      </w:pPr>
      <w:r>
        <w:rPr>
          <w:bCs/>
          <w:b/>
        </w:rPr>
        <w:t xml:space="preserve">Social Impact Program:</w:t>
      </w:r>
      <w:r>
        <w:t xml:space="preserve"> </w:t>
      </w:r>
      <w:r>
        <w:t xml:space="preserve">"Bolalar Kuni" (Children's Day) initiative – 1% of SME loan interest funds community schools in Tashkent</w:t>
      </w:r>
    </w:p>
    <w:p>
      <w:pPr>
        <w:numPr>
          <w:ilvl w:val="0"/>
          <w:numId w:val="1004"/>
        </w:numPr>
        <w:pStyle w:val="Compact"/>
      </w:pPr>
      <w:r>
        <w:rPr>
          <w:bCs/>
          <w:b/>
        </w:rPr>
        <w:t xml:space="preserve">Face-to-Face Service Hubs:</w:t>
      </w:r>
      <w:r>
        <w:t xml:space="preserve"> </w:t>
      </w:r>
      <w:r>
        <w:t xml:space="preserve">Pop-up kiosks in Tashkent's shopping centers (e.g., Park-Mall, Chilanzar) staffed by female bankers – addressing 67% of women customers' preference for gender-specific service</w:t>
      </w:r>
    </w:p>
    <w:bookmarkEnd w:id="26"/>
    <w:bookmarkEnd w:id="27"/>
    <w:bookmarkStart w:id="28" w:name="budget-allocation-1.8m-year-1"/>
    <w:p>
      <w:pPr>
        <w:pStyle w:val="Heading2"/>
      </w:pPr>
      <w:r>
        <w:t xml:space="preserve">Budget Allocation: $1.8M (Year 1)</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Digital Marketing (TikTok/Instagram)</w:t>
      </w:r>
    </w:p>
    <w:p>
      <w:pPr>
        <w:pStyle w:val="BodyText"/>
      </w:pPr>
      <w:r>
        <w:t xml:space="preserve">$420,000</w:t>
      </w:r>
    </w:p>
    <w:p>
      <w:pPr>
        <w:pStyle w:val="BodyText"/>
      </w:pPr>
      <w:r>
        <w:t xml:space="preserve">Tashkent youth's primary social media channel; targeting 5M impressions monthly</w:t>
      </w:r>
    </w:p>
    <w:p>
      <w:pPr>
        <w:pStyle w:val="BodyText"/>
      </w:pPr>
      <w:r>
        <w:t xml:space="preserve">Local Partnerships &amp; Events</w:t>
      </w:r>
    </w:p>
    <w:p>
      <w:pPr>
        <w:pStyle w:val="BodyText"/>
      </w:pPr>
      <w:r>
        <w:t xml:space="preserve">$385,000</w:t>
      </w:r>
    </w:p>
    <w:p>
      <w:pPr>
        <w:pStyle w:val="BodyText"/>
      </w:pPr>
      <w:r>
        <w:t xml:space="preserve">Direct community immersion in Tashkent neighborhoods like Mirzo-Ulugbek and Sergeli</w:t>
      </w:r>
    </w:p>
    <w:p>
      <w:pPr>
        <w:pStyle w:val="BodyText"/>
      </w:pPr>
      <w:r>
        <w:t xml:space="preserve">Tashkent Ambassadors Program</w:t>
      </w:r>
    </w:p>
    <w:p>
      <w:pPr>
        <w:pStyle w:val="BodyText"/>
      </w:pPr>
      <w:r>
        <w:t xml:space="preserve">$275,000</w:t>
      </w:r>
    </w:p>
    <w:p>
      <w:pPr>
        <w:pStyle w:val="BodyText"/>
      </w:pPr>
      <w:r>
        <w:rPr>
          <w:bCs/>
          <w:b/>
        </w:rPr>
        <w:t xml:space="preserve">University recruitment &amp; training for hyper-local outreach</w:t>
      </w:r>
    </w:p>
    <w:p>
      <w:pPr>
        <w:pStyle w:val="BodyText"/>
      </w:pPr>
      <w:r>
        <w:t xml:space="preserve">Localized Content Development (Uzbek-language)</w:t>
      </w:r>
    </w:p>
    <w:p>
      <w:pPr>
        <w:pStyle w:val="BodyText"/>
      </w:pPr>
      <w:r>
        <w:t xml:space="preserve">$315,000</w:t>
      </w:r>
    </w:p>
    <w:p>
      <w:pPr>
        <w:pStyle w:val="BodyText"/>
      </w:pPr>
      <w:r>
        <w:t xml:space="preserve">Custom videos featuring Tashkent life – e.g., "Banking During Chakhrak Festival"</w:t>
      </w:r>
    </w:p>
    <w:p>
      <w:pPr>
        <w:pStyle w:val="BodyText"/>
      </w:pPr>
      <w:r>
        <w:t xml:space="preserve">Trust-Building Service Hubs</w:t>
      </w:r>
    </w:p>
    <w:p>
      <w:pPr>
        <w:pStyle w:val="BodyText"/>
      </w:pPr>
      <w:r>
        <w:t xml:space="preserve">$385,000</w:t>
      </w:r>
    </w:p>
    <w:p>
      <w:pPr>
        <w:pStyle w:val="BodyText"/>
      </w:pPr>
      <w:r>
        <w:t xml:space="preserve">24 pop-up locations across 6 Tashkent districts</w:t>
      </w:r>
    </w:p>
    <w:bookmarkEnd w:id="28"/>
    <w:bookmarkStart w:id="29" w:name="X9ce015ddf6dd99abd2183eebb4b5cf2c82401de"/>
    <w:p>
      <w:pPr>
        <w:pStyle w:val="Heading2"/>
      </w:pPr>
      <w:r>
        <w:t xml:space="preserve">Implementation Timeline: Quarter-by-Quarter (Uzbekistan Tashkent Focus)</w:t>
      </w:r>
    </w:p>
    <w:p>
      <w:pPr>
        <w:numPr>
          <w:ilvl w:val="0"/>
          <w:numId w:val="1005"/>
        </w:numPr>
        <w:pStyle w:val="Compact"/>
      </w:pPr>
      <w:r>
        <w:rPr>
          <w:bCs/>
          <w:b/>
        </w:rPr>
        <w:t xml:space="preserve">Q1 2024:</w:t>
      </w:r>
      <w:r>
        <w:t xml:space="preserve"> </w:t>
      </w:r>
      <w:r>
        <w:t xml:space="preserve">Launch Uzbek-language app with Tashkent-themed onboarding; secure partnerships with Kvartal 47 and Metro</w:t>
      </w:r>
    </w:p>
    <w:p>
      <w:pPr>
        <w:numPr>
          <w:ilvl w:val="0"/>
          <w:numId w:val="1005"/>
        </w:numPr>
        <w:pStyle w:val="Compact"/>
      </w:pPr>
      <w:r>
        <w:rPr>
          <w:bCs/>
          <w:b/>
        </w:rPr>
        <w:t xml:space="preserve">Q2 2024:</w:t>
      </w:r>
      <w:r>
        <w:t xml:space="preserve"> </w:t>
      </w:r>
      <w:r>
        <w:t xml:space="preserve">Roll out Ambassador Program across Tashkent universities; initiate "Bolalar Kuni" pilot in Mirzo-Ulugbek district</w:t>
      </w:r>
    </w:p>
    <w:p>
      <w:pPr>
        <w:numPr>
          <w:ilvl w:val="0"/>
          <w:numId w:val="1005"/>
        </w:numPr>
        <w:pStyle w:val="Compact"/>
      </w:pPr>
      <w:r>
        <w:rPr>
          <w:bCs/>
          <w:b/>
        </w:rPr>
        <w:t xml:space="preserve">Q3 2024:</w:t>
      </w:r>
      <w:r>
        <w:t xml:space="preserve"> </w:t>
      </w:r>
      <w:r>
        <w:t xml:space="preserve">Expand pop-up hubs to all major Tashkent districts; launch SME loan program with 5% interest discounts</w:t>
      </w:r>
    </w:p>
    <w:p>
      <w:pPr>
        <w:numPr>
          <w:ilvl w:val="0"/>
          <w:numId w:val="1005"/>
        </w:numPr>
        <w:pStyle w:val="Compact"/>
      </w:pPr>
      <w:r>
        <w:rPr>
          <w:bCs/>
          <w:b/>
        </w:rPr>
        <w:t xml:space="preserve">Q4 2024:</w:t>
      </w:r>
      <w:r>
        <w:t xml:space="preserve"> </w:t>
      </w:r>
      <w:r>
        <w:t xml:space="preserve">Achieve first-year targets; develop Uzbekistan-wide expansion framework based on Tashkent learnings</w:t>
      </w:r>
    </w:p>
    <w:bookmarkEnd w:id="29"/>
    <w:bookmarkStart w:id="30" w:name="performance-measurement-adaptation"/>
    <w:p>
      <w:pPr>
        <w:pStyle w:val="Heading2"/>
      </w:pPr>
      <w:r>
        <w:t xml:space="preserve">Performance Measurement &amp; Adaptation</w:t>
      </w:r>
    </w:p>
    <w:p>
      <w:pPr>
        <w:pStyle w:val="FirstParagraph"/>
      </w:pPr>
      <w:r>
        <w:t xml:space="preserve">We will track three key metrics specific to Uzbekistan Tashkent context:</w:t>
      </w:r>
    </w:p>
    <w:p>
      <w:pPr>
        <w:numPr>
          <w:ilvl w:val="0"/>
          <w:numId w:val="1006"/>
        </w:numPr>
        <w:pStyle w:val="Compact"/>
      </w:pPr>
      <w:r>
        <w:rPr>
          <w:bCs/>
          <w:b/>
        </w:rPr>
        <w:t xml:space="preserve">Cultural Relevance Index (CRI):</w:t>
      </w:r>
      <w:r>
        <w:t xml:space="preserve"> </w:t>
      </w:r>
      <w:r>
        <w:t xml:space="preserve">Measured via user sentiment analysis on social media mentions of "Uzbek traditions" in app usage (Target: &gt;85% positive association)</w:t>
      </w:r>
    </w:p>
    <w:p>
      <w:pPr>
        <w:numPr>
          <w:ilvl w:val="0"/>
          <w:numId w:val="1006"/>
        </w:numPr>
        <w:pStyle w:val="Compact"/>
      </w:pPr>
      <w:r>
        <w:rPr>
          <w:bCs/>
          <w:b/>
        </w:rPr>
        <w:t xml:space="preserve">Tashkent Community Impact Score:</w:t>
      </w:r>
      <w:r>
        <w:t xml:space="preserve"> </w:t>
      </w:r>
      <w:r>
        <w:t xml:space="preserve">Number of SMEs receiving loans + community project participation (Target: 200+ SMEs, 15+ schools supported)</w:t>
      </w:r>
    </w:p>
    <w:p>
      <w:pPr>
        <w:numPr>
          <w:ilvl w:val="0"/>
          <w:numId w:val="1006"/>
        </w:numPr>
        <w:pStyle w:val="Compact"/>
      </w:pPr>
      <w:r>
        <w:rPr>
          <w:bCs/>
          <w:b/>
        </w:rPr>
        <w:t xml:space="preserve">Trust Velocity:</w:t>
      </w:r>
      <w:r>
        <w:t xml:space="preserve"> </w:t>
      </w:r>
      <w:r>
        <w:t xml:space="preserve">Rate of face-to-face service conversion from app users (Target: 40% within first year)</w:t>
      </w:r>
    </w:p>
    <w:bookmarkEnd w:id="30"/>
    <w:bookmarkStart w:id="31" w:name="X215a0e02e1fb90f657a6b04a8e0cb6685d4a4c7"/>
    <w:p>
      <w:pPr>
        <w:pStyle w:val="Heading2"/>
      </w:pPr>
      <w:r>
        <w:t xml:space="preserve">Conclusion: Banking for Uzbekistan's Future</w:t>
      </w:r>
    </w:p>
    <w:p>
      <w:pPr>
        <w:pStyle w:val="FirstParagraph"/>
      </w:pPr>
      <w:r>
        <w:t xml:space="preserve">This Marketing Plan positions Banker not merely as a financial institution but as a cultural partner embedded within Tashkent's social fabric. By centering our strategy on the unique rhythms of Uzbekistan Tashkent – from family values to local commerce patterns – we transcend transactional banking to build lasting relationships. The success of this plan will directly contribute to Uzbekistan's national goal of achieving 60% digital financial inclusion by 2025, with Tashkent serving as the blueprint for nationwide expansion. Banker's commitment to authentic Uzbek engagement ensures we become synonymous with trustworthy, culturally intelligent banking in the heart of Central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Uzbekistan Tashkent</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