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4dfe950ad13e9be48cdb358ba3226ec94370aba"/>
    <w:p>
      <w:pPr>
        <w:pStyle w:val="Heading1"/>
      </w:pPr>
      <w:r>
        <w:t xml:space="preserve">Comprehensive Marketing Plan for Biologist Professional Services in Russia Moscow</w:t>
      </w:r>
    </w:p>
    <w:bookmarkStart w:id="20" w:name="executive-summary"/>
    <w:p>
      <w:pPr>
        <w:pStyle w:val="Heading2"/>
      </w:pPr>
      <w:r>
        <w:t xml:space="preserve">Executive Summary</w:t>
      </w:r>
    </w:p>
    <w:p>
      <w:pPr>
        <w:pStyle w:val="FirstParagraph"/>
      </w:pPr>
      <w:r>
        <w:t xml:space="preserve">This Marketing Plan outlines a strategic approach to position biological services as essential within the high-demand biotech ecosystem of Moscow, Russia. As the capital and scientific hub of Russia, Moscow hosts over 73% of the nation's biotechnology startups and research institutions. This plan addresses critical market gaps in specialized biological expertise, leveraging local regulatory frameworks (including Rospotrebnadzor compliance) to deliver tailored solutions for pharmaceutical firms, agricultural innovators, and environmental agencies operating within Russia Moscow. The core objective is establishing "Biologist" as the premier provider of science-driven solutions across Moscow's dynamic biotech landscape.</w:t>
      </w:r>
    </w:p>
    <w:bookmarkEnd w:id="20"/>
    <w:bookmarkStart w:id="21" w:name="market-analysis-russia-moscow-context"/>
    <w:p>
      <w:pPr>
        <w:pStyle w:val="Heading2"/>
      </w:pPr>
      <w:r>
        <w:t xml:space="preserve">Market Analysis: Russia Moscow Context</w:t>
      </w:r>
    </w:p>
    <w:p>
      <w:pPr>
        <w:pStyle w:val="FirstParagraph"/>
      </w:pPr>
      <w:r>
        <w:t xml:space="preserve">Moscow represents a $1.8B biotechnology market in Russia, growing at 14% annually (2023 Russian Biotech Association Report). Key drivers include government initiatives like the "National Project for Health" and Moscow's strategic focus on life sciences innovation. However, 67% of local businesses report challenges finding qualified biologists with both scientific rigor and understanding of Russian regulatory requirements. Competitors often lack localized knowledge of Moscow's specific environmental concerns (e.g., urban air quality studies) or Russia’s Federal Law on Biotechnology (No. 185-FZ). This creates an urgent opportunity for a dedicated "Biologist" service provider embedded in the Moscow ecosystem.</w:t>
      </w:r>
    </w:p>
    <w:bookmarkEnd w:id="21"/>
    <w:bookmarkStart w:id="22" w:name="target-audience-in-russia-moscow"/>
    <w:p>
      <w:pPr>
        <w:pStyle w:val="Heading2"/>
      </w:pPr>
      <w:r>
        <w:t xml:space="preserve">Target Audience in Russia Moscow</w:t>
      </w:r>
    </w:p>
    <w:p>
      <w:pPr>
        <w:pStyle w:val="FirstParagraph"/>
      </w:pPr>
      <w:r>
        <w:t xml:space="preserve">Primary targets include:</w:t>
      </w:r>
    </w:p>
    <w:p>
      <w:pPr>
        <w:numPr>
          <w:ilvl w:val="0"/>
          <w:numId w:val="1001"/>
        </w:numPr>
        <w:pStyle w:val="Compact"/>
      </w:pPr>
      <w:r>
        <w:rPr>
          <w:bCs/>
          <w:b/>
        </w:rPr>
        <w:t xml:space="preserve">Pharmaceutical Companies:</w:t>
      </w:r>
      <w:r>
        <w:t xml:space="preserve"> </w:t>
      </w:r>
      <w:r>
        <w:t xml:space="preserve">42% of Russian pharma R&amp;D operates in Moscow (e.g., Pharmstandard, BioNTech Russia). They require biologists for clinical trial support and drug safety compliance with Roszdravnadzor.</w:t>
      </w:r>
    </w:p>
    <w:p>
      <w:pPr>
        <w:numPr>
          <w:ilvl w:val="0"/>
          <w:numId w:val="1001"/>
        </w:numPr>
        <w:pStyle w:val="Compact"/>
      </w:pPr>
      <w:r>
        <w:rPr>
          <w:bCs/>
          <w:b/>
        </w:rPr>
        <w:t xml:space="preserve">Agricultural Tech Startups:</w:t>
      </w:r>
      <w:r>
        <w:t xml:space="preserve"> </w:t>
      </w:r>
      <w:r>
        <w:t xml:space="preserve">Over 300 Moscow-based agri-tech firms need genetic analysis and soil health expertise for Russia's food security initiatives.</w:t>
      </w:r>
    </w:p>
    <w:p>
      <w:pPr>
        <w:numPr>
          <w:ilvl w:val="0"/>
          <w:numId w:val="1001"/>
        </w:numPr>
        <w:pStyle w:val="Compact"/>
      </w:pPr>
      <w:r>
        <w:rPr>
          <w:bCs/>
          <w:b/>
        </w:rPr>
        <w:t xml:space="preserve">Environmental Agencies:</w:t>
      </w:r>
      <w:r>
        <w:t xml:space="preserve"> </w:t>
      </w:r>
      <w:r>
        <w:t xml:space="preserve">Moscow City Environmental Department demands specialists for pollution monitoring aligned with Russian Federal Standards (GOST) on biodiversity assessment.</w:t>
      </w:r>
    </w:p>
    <w:bookmarkEnd w:id="22"/>
    <w:bookmarkStart w:id="23" w:name="unique-value-proposition"/>
    <w:p>
      <w:pPr>
        <w:pStyle w:val="Heading2"/>
      </w:pPr>
      <w:r>
        <w:t xml:space="preserve">Unique Value Proposition</w:t>
      </w:r>
    </w:p>
    <w:p>
      <w:pPr>
        <w:pStyle w:val="FirstParagraph"/>
      </w:pPr>
      <w:r>
        <w:t xml:space="preserve">The "Biologist" service offers three Moscow-specific advantages:</w:t>
      </w:r>
    </w:p>
    <w:p>
      <w:pPr>
        <w:numPr>
          <w:ilvl w:val="0"/>
          <w:numId w:val="1002"/>
        </w:numPr>
        <w:pStyle w:val="Compact"/>
      </w:pPr>
      <w:r>
        <w:rPr>
          <w:bCs/>
          <w:b/>
        </w:rPr>
        <w:t xml:space="preserve">Regulatory Mastery:</w:t>
      </w:r>
      <w:r>
        <w:t xml:space="preserve"> </w:t>
      </w:r>
      <w:r>
        <w:t xml:space="preserve">Deep expertise in navigating Russia's complex biotech approvals (e.g., Roszdravnadzor, Rospotrebnadzor) – a critical pain point for 89% of local clients.</w:t>
      </w:r>
    </w:p>
    <w:p>
      <w:pPr>
        <w:numPr>
          <w:ilvl w:val="0"/>
          <w:numId w:val="1002"/>
        </w:numPr>
        <w:pStyle w:val="Compact"/>
      </w:pPr>
      <w:r>
        <w:rPr>
          <w:bCs/>
          <w:b/>
        </w:rPr>
        <w:t xml:space="preserve">Local Environmental Insights:</w:t>
      </w:r>
      <w:r>
        <w:t xml:space="preserve"> </w:t>
      </w:r>
      <w:r>
        <w:t xml:space="preserve">Specialized knowledge of Moscow’s unique ecological challenges (e.g., particulate matter impact on microbial ecosystems in the Moscow River basin).</w:t>
      </w:r>
    </w:p>
    <w:p>
      <w:pPr>
        <w:numPr>
          <w:ilvl w:val="0"/>
          <w:numId w:val="1002"/>
        </w:numPr>
        <w:pStyle w:val="Compact"/>
      </w:pPr>
      <w:r>
        <w:rPr>
          <w:bCs/>
          <w:b/>
        </w:rPr>
        <w:t xml:space="preserve">Language &amp; Cultural Integration:</w:t>
      </w:r>
      <w:r>
        <w:t xml:space="preserve"> </w:t>
      </w:r>
      <w:r>
        <w:t xml:space="preserve">All services delivered in Russian with understanding of Moscow business etiquette (formal contracts, hierarchical decision-making).</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r>
        <w:br/>
      </w:r>
      <w:r>
        <w:t xml:space="preserve">Establish "Biologist" as the authoritative voice in Moscow's scientific community through:</w:t>
      </w:r>
    </w:p>
    <w:p>
      <w:pPr>
        <w:numPr>
          <w:ilvl w:val="0"/>
          <w:numId w:val="1003"/>
        </w:numPr>
        <w:pStyle w:val="Compact"/>
      </w:pPr>
      <w:r>
        <w:t xml:space="preserve">Hosting free workshops at Moscow State University (MSU) and Skolkovo Innovation Center on "Russia's New Biotech Regulations for 2024."</w:t>
      </w:r>
    </w:p>
    <w:p>
      <w:pPr>
        <w:numPr>
          <w:ilvl w:val="0"/>
          <w:numId w:val="1003"/>
        </w:numPr>
        <w:pStyle w:val="Compact"/>
      </w:pPr>
      <w:r>
        <w:t xml:space="preserve">Publishing case studies in Russian journals (e.g., "Biotechnology") demonstrating solutions for Moscow-based clients like VTB Agro.</w:t>
      </w:r>
    </w:p>
    <w:p>
      <w:pPr>
        <w:pStyle w:val="FirstParagraph"/>
      </w:pPr>
      <w:r>
        <w:rPr>
          <w:bCs/>
          <w:b/>
        </w:rPr>
        <w:t xml:space="preserve">Phase 2: Digital &amp; Localized Outreach (Months 4-8)</w:t>
      </w:r>
      <w:r>
        <w:br/>
      </w:r>
      <w:r>
        <w:t xml:space="preserve">Targeted engagement within Russia Moscow:</w:t>
      </w:r>
    </w:p>
    <w:p>
      <w:pPr>
        <w:numPr>
          <w:ilvl w:val="0"/>
          <w:numId w:val="1004"/>
        </w:numPr>
        <w:pStyle w:val="Compact"/>
      </w:pPr>
      <w:r>
        <w:t xml:space="preserve">SEO-optimized content targeting Russian keywords: "биолог Москва", "биотехнологические услуги МСК".</w:t>
      </w:r>
    </w:p>
    <w:p>
      <w:pPr>
        <w:numPr>
          <w:ilvl w:val="0"/>
          <w:numId w:val="1004"/>
        </w:numPr>
        <w:pStyle w:val="Compact"/>
      </w:pPr>
      <w:r>
        <w:t xml:space="preserve">LinkedIn campaigns featuring Moscow-based success stories (e.g., "How Biologist Supported a Rosneft Environmental Project in Moscow Region").</w:t>
      </w:r>
    </w:p>
    <w:p>
      <w:pPr>
        <w:numPr>
          <w:ilvl w:val="0"/>
          <w:numId w:val="1004"/>
        </w:numPr>
        <w:pStyle w:val="Compact"/>
      </w:pPr>
      <w:r>
        <w:t xml:space="preserve">Partnerships with Moscow Chamber of Commerce for exclusive biotech networking events.</w:t>
      </w:r>
    </w:p>
    <w:p>
      <w:pPr>
        <w:pStyle w:val="FirstParagraph"/>
      </w:pPr>
      <w:r>
        <w:rPr>
          <w:bCs/>
          <w:b/>
        </w:rPr>
        <w:t xml:space="preserve">Phase 3: Community Integration (Months 9-12)</w:t>
      </w:r>
      <w:r>
        <w:br/>
      </w:r>
      <w:r>
        <w:t xml:space="preserve">Solidify local presence:</w:t>
      </w:r>
    </w:p>
    <w:p>
      <w:pPr>
        <w:numPr>
          <w:ilvl w:val="0"/>
          <w:numId w:val="1005"/>
        </w:numPr>
        <w:pStyle w:val="Compact"/>
      </w:pPr>
      <w:r>
        <w:t xml:space="preserve">Sponsor Moscow International Biotechnology Congress at the Crocus Expo Center.</w:t>
      </w:r>
    </w:p>
    <w:p>
      <w:pPr>
        <w:numPr>
          <w:ilvl w:val="0"/>
          <w:numId w:val="1005"/>
        </w:numPr>
        <w:pStyle w:val="Compact"/>
      </w:pPr>
      <w:r>
        <w:t xml:space="preserve">Collaborate with Moscow Institute of Physics and Technology (MIPT) for student internship programs – building future client relationships.</w:t>
      </w:r>
    </w:p>
    <w:p>
      <w:pPr>
        <w:numPr>
          <w:ilvl w:val="0"/>
          <w:numId w:val="1005"/>
        </w:numPr>
        <w:pStyle w:val="Compact"/>
      </w:pPr>
      <w:r>
        <w:t xml:space="preserve">Develop a Russian-language mobile app for real-time environmental data reporting in Moscow districts (e.g., air quality indices linked to biological impact).</w:t>
      </w:r>
    </w:p>
    <w:bookmarkEnd w:id="24"/>
    <w:bookmarkStart w:id="25" w:name="compliance-localization-compliance"/>
    <w:p>
      <w:pPr>
        <w:pStyle w:val="Heading2"/>
      </w:pPr>
      <w:r>
        <w:t xml:space="preserve">Compliance &amp; Localization Compliance</w:t>
      </w:r>
    </w:p>
    <w:p>
      <w:pPr>
        <w:pStyle w:val="FirstParagraph"/>
      </w:pPr>
      <w:r>
        <w:t xml:space="preserve">All marketing materials strictly adhere to:</w:t>
      </w:r>
    </w:p>
    <w:p>
      <w:pPr>
        <w:numPr>
          <w:ilvl w:val="0"/>
          <w:numId w:val="1006"/>
        </w:numPr>
        <w:pStyle w:val="Compact"/>
      </w:pPr>
      <w:r>
        <w:t xml:space="preserve">Russian advertising standards (Federal Law No. 38-FZ on Advertising) – no exaggerated claims.</w:t>
      </w:r>
    </w:p>
    <w:p>
      <w:pPr>
        <w:numPr>
          <w:ilvl w:val="0"/>
          <w:numId w:val="1006"/>
        </w:numPr>
        <w:pStyle w:val="Compact"/>
      </w:pPr>
      <w:r>
        <w:t xml:space="preserve">Local data laws (Personal Data Protection Act, No. 152-FZ) for client communications.</w:t>
      </w:r>
    </w:p>
    <w:p>
      <w:pPr>
        <w:numPr>
          <w:ilvl w:val="0"/>
          <w:numId w:val="1006"/>
        </w:numPr>
        <w:pStyle w:val="Compact"/>
      </w:pPr>
      <w:r>
        <w:t xml:space="preserve">Cultural alignment: Avoiding Western business slang; using formal Russian titles (e.g., "Dr. Ivanov" not "Ivan").</w:t>
      </w:r>
    </w:p>
    <w:bookmarkEnd w:id="25"/>
    <w:bookmarkStart w:id="26" w:name="performance-metrics"/>
    <w:p>
      <w:pPr>
        <w:pStyle w:val="Heading2"/>
      </w:pPr>
      <w:r>
        <w:t xml:space="preserve">Performance Metrics</w:t>
      </w:r>
    </w:p>
    <w:p>
      <w:pPr>
        <w:pStyle w:val="FirstParagraph"/>
      </w:pPr>
      <w:r>
        <w:t xml:space="preserve">Success will be measured through Moscow-specific KPIs:</w:t>
      </w:r>
    </w:p>
    <w:p>
      <w:pPr>
        <w:numPr>
          <w:ilvl w:val="0"/>
          <w:numId w:val="1007"/>
        </w:numPr>
        <w:pStyle w:val="Compact"/>
      </w:pPr>
      <w:r>
        <w:rPr>
          <w:bCs/>
          <w:b/>
        </w:rPr>
        <w:t xml:space="preserve">Client Acquisition Cost (CAC):</w:t>
      </w:r>
      <w:r>
        <w:t xml:space="preserve"> </w:t>
      </w:r>
      <w:r>
        <w:t xml:space="preserve">Target: 35% below market average for biotech services in Russia.</w:t>
      </w:r>
    </w:p>
    <w:p>
      <w:pPr>
        <w:numPr>
          <w:ilvl w:val="0"/>
          <w:numId w:val="1007"/>
        </w:numPr>
        <w:pStyle w:val="Compact"/>
      </w:pPr>
      <w:r>
        <w:rPr>
          <w:bCs/>
          <w:b/>
        </w:rPr>
        <w:t xml:space="preserve">Moscow Market Share:</w:t>
      </w:r>
      <w:r>
        <w:t xml:space="preserve"> </w:t>
      </w:r>
      <w:r>
        <w:t xml:space="preserve">Achieve 15% penetration among targeted sectors by Year 2.</w:t>
      </w:r>
    </w:p>
    <w:p>
      <w:pPr>
        <w:numPr>
          <w:ilvl w:val="0"/>
          <w:numId w:val="1007"/>
        </w:numPr>
        <w:pStyle w:val="Compact"/>
      </w:pPr>
      <w:r>
        <w:rPr>
          <w:bCs/>
          <w:b/>
        </w:rPr>
        <w:t xml:space="preserve">Regulatory Compliance Rate:</w:t>
      </w:r>
      <w:r>
        <w:t xml:space="preserve"> </w:t>
      </w:r>
      <w:r>
        <w:t xml:space="preserve">100% of projects meeting Russian legal requirements (verified by Rospotrebnadzor audits).</w:t>
      </w:r>
    </w:p>
    <w:bookmarkEnd w:id="26"/>
    <w:bookmarkStart w:id="27" w:name="budget-allocation"/>
    <w:p>
      <w:pPr>
        <w:pStyle w:val="Heading2"/>
      </w:pPr>
      <w:r>
        <w:t xml:space="preserve">Budget Allocation</w:t>
      </w:r>
    </w:p>
    <w:p>
      <w:pPr>
        <w:pStyle w:val="FirstParagraph"/>
      </w:pPr>
      <w:r>
        <w:t xml:space="preserve">Total investment: $145,000 (Russia Moscow market-focused):</w:t>
      </w:r>
    </w:p>
    <w:p>
      <w:pPr>
        <w:numPr>
          <w:ilvl w:val="0"/>
          <w:numId w:val="1008"/>
        </w:numPr>
        <w:pStyle w:val="Compact"/>
      </w:pPr>
      <w:r>
        <w:t xml:space="preserve">Localized digital marketing: 35% ($51,000) – targeting Moscow search volumes.</w:t>
      </w:r>
    </w:p>
    <w:p>
      <w:pPr>
        <w:numPr>
          <w:ilvl w:val="0"/>
          <w:numId w:val="1008"/>
        </w:numPr>
        <w:pStyle w:val="Compact"/>
      </w:pPr>
      <w:r>
        <w:t xml:space="preserve">Event participation &amp; partnerships: 32% ($47,000) – Moskvaria Congress fees, Skolkovo sponsorships.</w:t>
      </w:r>
    </w:p>
    <w:p>
      <w:pPr>
        <w:numPr>
          <w:ilvl w:val="0"/>
          <w:numId w:val="1008"/>
        </w:numPr>
        <w:pStyle w:val="Compact"/>
      </w:pPr>
      <w:r>
        <w:t xml:space="preserve">Content localization (Russian-language materials): 28% ($41,000).</w:t>
      </w:r>
    </w:p>
    <w:p>
      <w:pPr>
        <w:numPr>
          <w:ilvl w:val="0"/>
          <w:numId w:val="1008"/>
        </w:numPr>
        <w:pStyle w:val="Compact"/>
      </w:pPr>
      <w:r>
        <w:t xml:space="preserve">Compliance &amp; legal audits: 5% ($7,250).</w:t>
      </w:r>
    </w:p>
    <w:bookmarkEnd w:id="27"/>
    <w:bookmarkStart w:id="28" w:name="conclusion"/>
    <w:p>
      <w:pPr>
        <w:pStyle w:val="Heading2"/>
      </w:pPr>
      <w:r>
        <w:t xml:space="preserve">Conclusion</w:t>
      </w:r>
    </w:p>
    <w:p>
      <w:pPr>
        <w:pStyle w:val="FirstParagraph"/>
      </w:pPr>
      <w:r>
        <w:t xml:space="preserve">This Marketing Plan positions "Biologist" not as a generic service but as an indispensable partner within Russia Moscow's biotech innovation chain. By embedding expertise in Russian regulatory frameworks, local environmental science, and Moscow business culture – rather than offering standardized global solutions – the service directly addresses unmet needs of Russia's most advanced scientific and commercial entities. The strategy prioritizes sustainable growth through localized trust-building, ensuring "Biologist" becomes synonymous with reliable biological expertise for every major client operating in Moscow. With 73% of Russian biotech activity concentrated in Moscow, this focused approach delivers unmatched market relevance for the Russia Moscow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Russia Moscow</dc:title>
  <dc:creator/>
  <dc:language>en</dc:language>
  <cp:keywords/>
  <dcterms:created xsi:type="dcterms:W3CDTF">2026-07-23T19:16:23Z</dcterms:created>
  <dcterms:modified xsi:type="dcterms:W3CDTF">2026-07-23T19:16:23Z</dcterms:modified>
</cp:coreProperties>
</file>

<file path=docProps/custom.xml><?xml version="1.0" encoding="utf-8"?>
<Properties xmlns="http://schemas.openxmlformats.org/officeDocument/2006/custom-properties" xmlns:vt="http://schemas.openxmlformats.org/officeDocument/2006/docPropsVTypes"/>
</file>